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BD" w:rsidRPr="00232EFB" w:rsidRDefault="008C37BD" w:rsidP="00232EFB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CE655B" w:rsidRPr="00232EFB" w:rsidRDefault="008C37BD" w:rsidP="00232EFB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w:r w:rsidRPr="00232EFB">
        <w:rPr>
          <w:b/>
          <w:i/>
          <w:iCs/>
          <w:sz w:val="28"/>
          <w:szCs w:val="28"/>
        </w:rPr>
        <w:t>Вставская Наталья Владимировна</w:t>
      </w:r>
      <w:r w:rsidRPr="00232EFB">
        <w:rPr>
          <w:sz w:val="28"/>
          <w:szCs w:val="28"/>
        </w:rPr>
        <w:br/>
      </w:r>
      <w:r w:rsidR="003C5AE8">
        <w:rPr>
          <w:i/>
          <w:iCs/>
          <w:sz w:val="28"/>
          <w:szCs w:val="28"/>
        </w:rPr>
        <w:t>преподаватель</w:t>
      </w:r>
      <w:bookmarkStart w:id="0" w:name="_GoBack"/>
      <w:bookmarkEnd w:id="0"/>
      <w:r w:rsidRPr="00232EFB">
        <w:rPr>
          <w:sz w:val="28"/>
          <w:szCs w:val="28"/>
        </w:rPr>
        <w:br/>
      </w:r>
      <w:r w:rsidRPr="00232EFB">
        <w:rPr>
          <w:i/>
          <w:iCs/>
          <w:sz w:val="28"/>
          <w:szCs w:val="28"/>
        </w:rPr>
        <w:t>ГБПОУ УМТ</w:t>
      </w:r>
      <w:r w:rsidRPr="00232EFB">
        <w:rPr>
          <w:sz w:val="28"/>
          <w:szCs w:val="28"/>
        </w:rPr>
        <w:br/>
      </w:r>
      <w:r w:rsidRPr="00232EFB">
        <w:rPr>
          <w:i/>
          <w:iCs/>
          <w:sz w:val="28"/>
          <w:szCs w:val="28"/>
        </w:rPr>
        <w:t>п. Улькан, Иркутская область</w:t>
      </w:r>
    </w:p>
    <w:p w:rsidR="00CE655B" w:rsidRPr="00232EFB" w:rsidRDefault="00CE655B" w:rsidP="00232EFB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C37BD" w:rsidRPr="00232EFB" w:rsidRDefault="008C37BD" w:rsidP="00232EFB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232EFB">
        <w:rPr>
          <w:b/>
          <w:sz w:val="28"/>
          <w:szCs w:val="28"/>
        </w:rPr>
        <w:t>Компетентностная модель педагога ГБПОУ УМТ</w:t>
      </w:r>
    </w:p>
    <w:p w:rsidR="008C37BD" w:rsidRPr="00232EFB" w:rsidRDefault="008C37BD" w:rsidP="00232EFB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C37BD" w:rsidRPr="00232EFB" w:rsidRDefault="008C37BD" w:rsidP="00232EFB">
      <w:pPr>
        <w:spacing w:line="360" w:lineRule="auto"/>
        <w:ind w:firstLine="567"/>
        <w:contextualSpacing/>
        <w:jc w:val="both"/>
        <w:rPr>
          <w:iCs/>
          <w:color w:val="000000"/>
          <w:sz w:val="28"/>
          <w:szCs w:val="28"/>
        </w:rPr>
      </w:pPr>
      <w:r w:rsidRPr="00232EFB">
        <w:rPr>
          <w:b/>
          <w:bCs/>
          <w:iCs/>
          <w:color w:val="000000"/>
          <w:sz w:val="28"/>
          <w:szCs w:val="28"/>
        </w:rPr>
        <w:t>Аннотация:</w:t>
      </w:r>
      <w:r w:rsidRPr="00232EFB">
        <w:rPr>
          <w:iCs/>
          <w:color w:val="000000"/>
          <w:sz w:val="28"/>
          <w:szCs w:val="28"/>
        </w:rPr>
        <w:t> </w:t>
      </w:r>
    </w:p>
    <w:p w:rsidR="00C26769" w:rsidRPr="00232EFB" w:rsidRDefault="00C26769" w:rsidP="00232E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2EFB">
        <w:rPr>
          <w:sz w:val="28"/>
          <w:szCs w:val="28"/>
        </w:rPr>
        <w:t xml:space="preserve">В статье обоснована необходимость формирования </w:t>
      </w:r>
      <w:r w:rsidR="00B60B08" w:rsidRPr="00232EFB">
        <w:rPr>
          <w:sz w:val="28"/>
          <w:szCs w:val="28"/>
        </w:rPr>
        <w:t xml:space="preserve">компетентностной модели педагога </w:t>
      </w:r>
      <w:r w:rsidRPr="00232EFB">
        <w:rPr>
          <w:sz w:val="28"/>
          <w:szCs w:val="28"/>
        </w:rPr>
        <w:t xml:space="preserve">в условиях современного образования. Описывается модель </w:t>
      </w:r>
      <w:r w:rsidR="00B60B08" w:rsidRPr="00232EFB">
        <w:rPr>
          <w:sz w:val="28"/>
          <w:szCs w:val="28"/>
        </w:rPr>
        <w:t>компетентностная модель</w:t>
      </w:r>
      <w:r w:rsidRPr="00232EFB">
        <w:rPr>
          <w:sz w:val="28"/>
          <w:szCs w:val="28"/>
        </w:rPr>
        <w:t xml:space="preserve"> педагога на основе </w:t>
      </w:r>
      <w:r w:rsidR="00B60B08" w:rsidRPr="00232EFB">
        <w:rPr>
          <w:sz w:val="28"/>
          <w:szCs w:val="28"/>
        </w:rPr>
        <w:t>проведенного анализа.</w:t>
      </w:r>
      <w:r w:rsidR="00684BB6" w:rsidRPr="00232EFB">
        <w:rPr>
          <w:sz w:val="28"/>
          <w:szCs w:val="28"/>
        </w:rPr>
        <w:t xml:space="preserve"> Определены показатели компетентности</w:t>
      </w:r>
      <w:r w:rsidR="00684BB6" w:rsidRPr="00232EFB">
        <w:rPr>
          <w:sz w:val="28"/>
          <w:szCs w:val="28"/>
          <w:lang w:eastAsia="en-US"/>
        </w:rPr>
        <w:t>.</w:t>
      </w:r>
    </w:p>
    <w:p w:rsidR="00B60B08" w:rsidRPr="00232EFB" w:rsidRDefault="008C37BD" w:rsidP="00232EFB">
      <w:pPr>
        <w:spacing w:line="360" w:lineRule="auto"/>
        <w:ind w:firstLine="567"/>
        <w:contextualSpacing/>
        <w:jc w:val="both"/>
        <w:rPr>
          <w:i/>
          <w:iCs/>
          <w:color w:val="000000"/>
          <w:sz w:val="28"/>
          <w:szCs w:val="28"/>
        </w:rPr>
      </w:pPr>
      <w:r w:rsidRPr="00232EFB">
        <w:rPr>
          <w:b/>
          <w:bCs/>
          <w:iCs/>
          <w:color w:val="000000"/>
          <w:sz w:val="28"/>
          <w:szCs w:val="28"/>
        </w:rPr>
        <w:t>Ключевые слова:</w:t>
      </w:r>
      <w:r w:rsidRPr="00232EFB">
        <w:rPr>
          <w:i/>
          <w:iCs/>
          <w:color w:val="000000"/>
          <w:sz w:val="28"/>
          <w:szCs w:val="28"/>
        </w:rPr>
        <w:t> </w:t>
      </w:r>
    </w:p>
    <w:p w:rsidR="008C37BD" w:rsidRPr="00232EFB" w:rsidRDefault="00B60B08" w:rsidP="00232E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2EFB">
        <w:rPr>
          <w:sz w:val="28"/>
          <w:szCs w:val="28"/>
        </w:rPr>
        <w:t>профессиональная компетенция, профессиональный стандарт, компетентностная модель</w:t>
      </w:r>
      <w:r w:rsidR="00232EFB">
        <w:rPr>
          <w:sz w:val="28"/>
          <w:szCs w:val="28"/>
        </w:rPr>
        <w:t>.</w:t>
      </w:r>
    </w:p>
    <w:p w:rsidR="008C37BD" w:rsidRPr="00232EFB" w:rsidRDefault="00E62F18" w:rsidP="00232E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2EFB">
        <w:rPr>
          <w:sz w:val="28"/>
          <w:szCs w:val="28"/>
        </w:rPr>
        <w:t>Педагогическая профессия является одновременно преобразующей и управляющей. А для того, чтобы управлять развитием личности, нужно быть компетентным. Понятие профессиональной компетентности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профессионализм. Содержание подготовки педагога той или иной специальности представлено в квалификационной характеристике - нормативной модели компетентности педагога, отображающей научно обоснованный состав профессиональных знаний, умений и навыков.</w:t>
      </w:r>
    </w:p>
    <w:p w:rsidR="008C37BD" w:rsidRPr="00232EFB" w:rsidRDefault="008C37BD" w:rsidP="00232E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2EFB">
        <w:rPr>
          <w:sz w:val="28"/>
          <w:szCs w:val="28"/>
        </w:rPr>
        <w:t xml:space="preserve">Персонал организаций, обладающий необходимыми профессиональными компетенциями –  всегда необходимое условие  успеха. Чтобы процесс формирования компетенций был успешным, прежде всего, необходимо знать, какие компетенции необходимы сотрудникам организации. Решать эти задачи помогает составление </w:t>
      </w:r>
      <w:hyperlink r:id="rId6" w:tooltip="Модель компетенций" w:history="1">
        <w:r w:rsidRPr="00232EFB">
          <w:rPr>
            <w:sz w:val="28"/>
            <w:szCs w:val="28"/>
          </w:rPr>
          <w:t>моделей компетенций</w:t>
        </w:r>
      </w:hyperlink>
      <w:r w:rsidRPr="00232EFB">
        <w:rPr>
          <w:sz w:val="28"/>
          <w:szCs w:val="28"/>
        </w:rPr>
        <w:t xml:space="preserve">. На основе полученной модели </w:t>
      </w:r>
      <w:r w:rsidRPr="00232EFB">
        <w:rPr>
          <w:sz w:val="28"/>
          <w:szCs w:val="28"/>
        </w:rPr>
        <w:lastRenderedPageBreak/>
        <w:t xml:space="preserve">компетенций создаётся профиль компетенций специалиста, в котором указано, какими профессиональными компетенциями должен обладать сотрудник, занимающий ту или иную конкретную должность. </w:t>
      </w:r>
    </w:p>
    <w:p w:rsidR="00CE655B" w:rsidRPr="00232EFB" w:rsidRDefault="00CE655B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</w:rPr>
        <w:t xml:space="preserve">В рамках внедрения </w:t>
      </w:r>
      <w:r w:rsidRPr="00232EFB">
        <w:rPr>
          <w:sz w:val="28"/>
          <w:szCs w:val="28"/>
          <w:lang w:eastAsia="en-US"/>
        </w:rPr>
        <w:t xml:space="preserve">Профессионального стандарта «Педагог профессионального обучения, профессионального образования и дополнительного профессионального образования» в ГБПОУ УМТ была разработана </w:t>
      </w:r>
      <w:r w:rsidRPr="00232EFB">
        <w:rPr>
          <w:sz w:val="28"/>
          <w:szCs w:val="28"/>
        </w:rPr>
        <w:t>компетентностная  модель педагогических работников  (по должности «Преподаватель»). Для этого был проведен анализ</w:t>
      </w:r>
      <w:r w:rsidRPr="00232EFB">
        <w:rPr>
          <w:sz w:val="28"/>
          <w:szCs w:val="28"/>
          <w:lang w:eastAsia="en-US"/>
        </w:rPr>
        <w:t xml:space="preserve">  различных источников информации, который показал, что большое внимание уделяется изучению профессиональной компетентности педагогических работников, но при этом отсутствуют единые подходы к определению структуры профессиональной компетентности педагога.</w:t>
      </w:r>
    </w:p>
    <w:p w:rsidR="00CE655B" w:rsidRPr="00232EFB" w:rsidRDefault="00CE655B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За  основу определения была взята модель профессиональной компетентности педагога, разработанная Н.В. Кузьминой. Эта модель включает в себя пять элементов педагогической компетентности:</w:t>
      </w:r>
    </w:p>
    <w:p w:rsidR="00CE655B" w:rsidRPr="00232EFB" w:rsidRDefault="00CE655B" w:rsidP="00232EFB">
      <w:pPr>
        <w:pStyle w:val="a6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Специальная компетентность в области преподаваемой дисциплины.</w:t>
      </w:r>
    </w:p>
    <w:p w:rsidR="00CE655B" w:rsidRPr="00232EFB" w:rsidRDefault="00CE655B" w:rsidP="00232EFB">
      <w:pPr>
        <w:pStyle w:val="a6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Методическая компетентность в области способов формирования знаний, умений и навыков учащихся.</w:t>
      </w:r>
    </w:p>
    <w:p w:rsidR="00CE655B" w:rsidRPr="00232EFB" w:rsidRDefault="00CE655B" w:rsidP="00232EFB">
      <w:pPr>
        <w:pStyle w:val="a6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Психолого-педагогическая компетентность в сфере обучения.</w:t>
      </w:r>
    </w:p>
    <w:p w:rsidR="00CE655B" w:rsidRPr="00232EFB" w:rsidRDefault="00CE655B" w:rsidP="00232EFB">
      <w:pPr>
        <w:pStyle w:val="a6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Дифференциально-психологическая компетентность в области мотивов, способностей, направленности обучаемых.</w:t>
      </w:r>
    </w:p>
    <w:p w:rsidR="00CE655B" w:rsidRPr="00232EFB" w:rsidRDefault="00CE655B" w:rsidP="00232EFB">
      <w:pPr>
        <w:pStyle w:val="a6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Рефлексия педагогической деятельности, или аутопсихологическая компетентность.</w:t>
      </w:r>
    </w:p>
    <w:p w:rsidR="00CE655B" w:rsidRPr="00232EFB" w:rsidRDefault="00CE655B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 xml:space="preserve">Так как в настоящее время ГБПОУ УМТ является региональной пилотной площадкой по внедрению Профессионального стандарта «Педагог профессионального обучения, профессионального образования и дополнительного профессионального образования» по должности Преподаватель, а данный стандарт предъявляет определенную систему минимальных требований к знаниям, умениям, способностям и личностным качествам педагога (его компетентности), то проанализировав данные </w:t>
      </w:r>
      <w:r w:rsidRPr="00232EFB">
        <w:rPr>
          <w:sz w:val="28"/>
          <w:szCs w:val="28"/>
          <w:lang w:eastAsia="en-US"/>
        </w:rPr>
        <w:lastRenderedPageBreak/>
        <w:t xml:space="preserve">требования и опираясь на модель Н.В. Кузьминой, мы построили следующую компетентностную модель педагога. </w:t>
      </w:r>
    </w:p>
    <w:p w:rsidR="00B60B08" w:rsidRPr="00232EFB" w:rsidRDefault="00B60B08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</w:p>
    <w:p w:rsidR="00B60B08" w:rsidRPr="00232EFB" w:rsidRDefault="00B60B08" w:rsidP="00232EFB">
      <w:pPr>
        <w:spacing w:line="360" w:lineRule="auto"/>
        <w:ind w:firstLine="567"/>
        <w:contextualSpacing/>
        <w:jc w:val="right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Таблица 1. Компетентностная модель педагога</w:t>
      </w:r>
    </w:p>
    <w:p w:rsidR="00CE655B" w:rsidRPr="00232EFB" w:rsidRDefault="00CE655B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817"/>
        <w:gridCol w:w="4456"/>
        <w:gridCol w:w="4723"/>
      </w:tblGrid>
      <w:tr w:rsidR="00CE655B" w:rsidRPr="00232EFB" w:rsidTr="00232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B" w:rsidRPr="00232EFB" w:rsidRDefault="00232EFB" w:rsidP="00232EFB">
            <w:pPr>
              <w:spacing w:line="360" w:lineRule="auto"/>
              <w:contextualSpacing/>
              <w:jc w:val="center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 xml:space="preserve">№ </w:t>
            </w:r>
            <w:proofErr w:type="gramStart"/>
            <w:r w:rsidRPr="00232EFB">
              <w:rPr>
                <w:szCs w:val="28"/>
                <w:lang w:eastAsia="en-US"/>
              </w:rPr>
              <w:t>п</w:t>
            </w:r>
            <w:proofErr w:type="gramEnd"/>
            <w:r w:rsidRPr="00232EFB">
              <w:rPr>
                <w:szCs w:val="28"/>
                <w:lang w:eastAsia="en-US"/>
              </w:rPr>
              <w:t>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B" w:rsidRPr="00232EFB" w:rsidRDefault="00CE655B" w:rsidP="00232EFB">
            <w:pPr>
              <w:spacing w:line="360" w:lineRule="auto"/>
              <w:ind w:firstLine="567"/>
              <w:contextualSpacing/>
              <w:jc w:val="center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>Компетенции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B" w:rsidRPr="00232EFB" w:rsidRDefault="00CE655B" w:rsidP="00232EFB">
            <w:pPr>
              <w:spacing w:line="360" w:lineRule="auto"/>
              <w:ind w:firstLine="567"/>
              <w:contextualSpacing/>
              <w:jc w:val="center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>Показатели компетентности</w:t>
            </w:r>
          </w:p>
        </w:tc>
      </w:tr>
      <w:tr w:rsidR="00CE655B" w:rsidRPr="00232EFB" w:rsidTr="00232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B" w:rsidRPr="00232EFB" w:rsidRDefault="00CE655B" w:rsidP="00232EFB">
            <w:pPr>
              <w:pStyle w:val="a6"/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5B" w:rsidRPr="00232EFB" w:rsidRDefault="00CE655B" w:rsidP="00232EFB">
            <w:pPr>
              <w:spacing w:line="360" w:lineRule="auto"/>
              <w:ind w:firstLine="567"/>
              <w:contextualSpacing/>
              <w:jc w:val="both"/>
              <w:rPr>
                <w:szCs w:val="28"/>
                <w:lang w:eastAsia="en-US"/>
              </w:rPr>
            </w:pPr>
            <w:r w:rsidRPr="00232EFB">
              <w:rPr>
                <w:b/>
                <w:szCs w:val="28"/>
                <w:lang w:eastAsia="en-US"/>
              </w:rPr>
              <w:t>Специальная компетентность в области преподаваемой дисциплины</w:t>
            </w:r>
            <w:r w:rsidRPr="00232EFB">
              <w:rPr>
                <w:szCs w:val="28"/>
              </w:rPr>
              <w:t xml:space="preserve"> включает владение различными методами обучения, знание дидактических методов, приемов и умение применять их в процессе обучения, знание психологических механизмов усвоения знаний и умений в процессе обучения.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5B" w:rsidRPr="00232EFB" w:rsidRDefault="00CE655B" w:rsidP="00232EFB">
            <w:pPr>
              <w:pStyle w:val="a6"/>
              <w:numPr>
                <w:ilvl w:val="0"/>
                <w:numId w:val="9"/>
              </w:numPr>
              <w:spacing w:line="360" w:lineRule="auto"/>
              <w:ind w:left="-28" w:firstLine="425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>владеет специфическими для данной профессии/специальности знаниями и умениями;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9"/>
              </w:numPr>
              <w:spacing w:line="360" w:lineRule="auto"/>
              <w:ind w:left="-28" w:firstLine="425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>анализирует производственные ситуации, планирует с их учетом рациональной организации технологического процесса;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9"/>
              </w:numPr>
              <w:spacing w:line="360" w:lineRule="auto"/>
              <w:ind w:left="-28" w:firstLine="425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>анализирует инновационный производственный опыт и планирует его использование в учебном процессе</w:t>
            </w:r>
            <w:r w:rsidR="00232EFB">
              <w:rPr>
                <w:szCs w:val="28"/>
                <w:lang w:eastAsia="en-US"/>
              </w:rPr>
              <w:t>.</w:t>
            </w:r>
          </w:p>
        </w:tc>
      </w:tr>
      <w:tr w:rsidR="00CE655B" w:rsidRPr="00232EFB" w:rsidTr="00232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B" w:rsidRPr="00232EFB" w:rsidRDefault="00CE655B" w:rsidP="00232EFB">
            <w:pPr>
              <w:pStyle w:val="a6"/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B" w:rsidRPr="00232EFB" w:rsidRDefault="00CE655B" w:rsidP="00232EFB">
            <w:pPr>
              <w:spacing w:line="360" w:lineRule="auto"/>
              <w:ind w:firstLine="567"/>
              <w:contextualSpacing/>
              <w:jc w:val="both"/>
              <w:rPr>
                <w:szCs w:val="28"/>
              </w:rPr>
            </w:pPr>
            <w:r w:rsidRPr="00232EFB">
              <w:rPr>
                <w:b/>
                <w:szCs w:val="28"/>
                <w:lang w:eastAsia="en-US"/>
              </w:rPr>
              <w:t>Методическая компетентность в области способов формирования знаний, умений и навыков учащихся</w:t>
            </w:r>
            <w:r w:rsidRPr="00232EFB">
              <w:rPr>
                <w:szCs w:val="28"/>
              </w:rPr>
              <w:t xml:space="preserve"> включает владение различными методами обучения, знание дидактических методов, приемов и умение применять их в процессе обучения, знание психологических механизмов усвоения знаний и умений в процессе обучения.</w:t>
            </w:r>
          </w:p>
          <w:p w:rsidR="00CE655B" w:rsidRPr="00232EFB" w:rsidRDefault="00CE655B" w:rsidP="00232EFB">
            <w:pPr>
              <w:spacing w:line="360" w:lineRule="auto"/>
              <w:ind w:firstLine="567"/>
              <w:contextualSpacing/>
              <w:jc w:val="both"/>
              <w:rPr>
                <w:szCs w:val="28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5B" w:rsidRPr="00232EFB" w:rsidRDefault="00CE655B" w:rsidP="00232EFB">
            <w:pPr>
              <w:pStyle w:val="a6"/>
              <w:numPr>
                <w:ilvl w:val="0"/>
                <w:numId w:val="10"/>
              </w:numPr>
              <w:spacing w:line="360" w:lineRule="auto"/>
              <w:ind w:left="0" w:firstLine="397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 xml:space="preserve">организует учебную деятельность обучающихся по освоению учебных предметов, курсов, дисциплин (модулей) программ профессионального обучения, СПО </w:t>
            </w:r>
            <w:proofErr w:type="gramStart"/>
            <w:r w:rsidRPr="00232EFB">
              <w:rPr>
                <w:szCs w:val="28"/>
                <w:lang w:eastAsia="en-US"/>
              </w:rPr>
              <w:t>и(</w:t>
            </w:r>
            <w:proofErr w:type="gramEnd"/>
            <w:r w:rsidRPr="00232EFB">
              <w:rPr>
                <w:szCs w:val="28"/>
                <w:lang w:eastAsia="en-US"/>
              </w:rPr>
              <w:t>или) ДПП;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10"/>
              </w:numPr>
              <w:spacing w:line="360" w:lineRule="auto"/>
              <w:ind w:left="0" w:firstLine="397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 xml:space="preserve">разрабатывает программно-методическое обеспечение учебных предметов, курсов, дисциплин (модулей) программ профессионального обучения, СПО </w:t>
            </w:r>
            <w:proofErr w:type="gramStart"/>
            <w:r w:rsidRPr="00232EFB">
              <w:rPr>
                <w:szCs w:val="28"/>
                <w:lang w:eastAsia="en-US"/>
              </w:rPr>
              <w:t>и(</w:t>
            </w:r>
            <w:proofErr w:type="gramEnd"/>
            <w:r w:rsidRPr="00232EFB">
              <w:rPr>
                <w:szCs w:val="28"/>
                <w:lang w:eastAsia="en-US"/>
              </w:rPr>
              <w:t>или) ДПП;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10"/>
              </w:numPr>
              <w:spacing w:line="360" w:lineRule="auto"/>
              <w:ind w:left="0" w:firstLine="397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 xml:space="preserve">контролирует и оценивает освоение образовательной программы профессионального обучения, СПО </w:t>
            </w:r>
            <w:proofErr w:type="gramStart"/>
            <w:r w:rsidRPr="00232EFB">
              <w:rPr>
                <w:szCs w:val="28"/>
                <w:lang w:eastAsia="en-US"/>
              </w:rPr>
              <w:t>и(</w:t>
            </w:r>
            <w:proofErr w:type="gramEnd"/>
            <w:r w:rsidRPr="00232EFB">
              <w:rPr>
                <w:szCs w:val="28"/>
                <w:lang w:eastAsia="en-US"/>
              </w:rPr>
              <w:t>или) ДПП в процессе промежуточной и итоговой аттестации</w:t>
            </w:r>
            <w:r w:rsidR="00232EFB">
              <w:rPr>
                <w:szCs w:val="28"/>
                <w:lang w:eastAsia="en-US"/>
              </w:rPr>
              <w:t>.</w:t>
            </w:r>
          </w:p>
        </w:tc>
      </w:tr>
      <w:tr w:rsidR="00CE655B" w:rsidRPr="00232EFB" w:rsidTr="00232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B" w:rsidRPr="00232EFB" w:rsidRDefault="00CE655B" w:rsidP="00232EFB">
            <w:pPr>
              <w:pStyle w:val="a6"/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B" w:rsidRPr="00232EFB" w:rsidRDefault="00CE655B" w:rsidP="00232EFB">
            <w:pPr>
              <w:spacing w:line="360" w:lineRule="auto"/>
              <w:ind w:firstLine="567"/>
              <w:contextualSpacing/>
              <w:jc w:val="both"/>
              <w:rPr>
                <w:szCs w:val="28"/>
              </w:rPr>
            </w:pPr>
            <w:r w:rsidRPr="00232EFB">
              <w:rPr>
                <w:b/>
                <w:szCs w:val="28"/>
                <w:lang w:eastAsia="en-US"/>
              </w:rPr>
              <w:t xml:space="preserve">Психолого-педагогическая </w:t>
            </w:r>
            <w:r w:rsidRPr="00232EFB">
              <w:rPr>
                <w:b/>
                <w:szCs w:val="28"/>
                <w:lang w:eastAsia="en-US"/>
              </w:rPr>
              <w:lastRenderedPageBreak/>
              <w:t>компетентность в сфере обучения</w:t>
            </w:r>
            <w:r w:rsidRPr="00232EFB">
              <w:rPr>
                <w:szCs w:val="28"/>
              </w:rPr>
              <w:t xml:space="preserve"> предполагает владение педагогической диагностикой, умение строить педагогически целесообразные отношения с обучаемыми, осуществлять индивидуальную работу на основе результатов педагогической диагностики; знание возрастной психологии, психологии межличностного и педагогического общения; умение пробуждать и развивать </w:t>
            </w:r>
            <w:proofErr w:type="gramStart"/>
            <w:r w:rsidRPr="00232EFB">
              <w:rPr>
                <w:szCs w:val="28"/>
              </w:rPr>
              <w:t>у</w:t>
            </w:r>
            <w:proofErr w:type="gramEnd"/>
            <w:r w:rsidRPr="00232EFB">
              <w:rPr>
                <w:szCs w:val="28"/>
              </w:rPr>
              <w:t xml:space="preserve"> обучаемых устойчивый интерес к выбранной специальности, к преподаваемому предмету.</w:t>
            </w:r>
          </w:p>
          <w:p w:rsidR="00CE655B" w:rsidRPr="00232EFB" w:rsidRDefault="00CE655B" w:rsidP="00232EFB">
            <w:pPr>
              <w:spacing w:line="360" w:lineRule="auto"/>
              <w:ind w:firstLine="567"/>
              <w:contextualSpacing/>
              <w:jc w:val="both"/>
              <w:rPr>
                <w:szCs w:val="28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5B" w:rsidRPr="00232EFB" w:rsidRDefault="00CE655B" w:rsidP="00232EFB">
            <w:pPr>
              <w:pStyle w:val="a6"/>
              <w:numPr>
                <w:ilvl w:val="0"/>
                <w:numId w:val="11"/>
              </w:numPr>
              <w:spacing w:line="360" w:lineRule="auto"/>
              <w:ind w:left="0" w:firstLine="256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lastRenderedPageBreak/>
              <w:t xml:space="preserve">устанавливает взаимоотношения с </w:t>
            </w:r>
            <w:proofErr w:type="gramStart"/>
            <w:r w:rsidRPr="00232EFB">
              <w:rPr>
                <w:szCs w:val="28"/>
                <w:lang w:eastAsia="en-US"/>
              </w:rPr>
              <w:lastRenderedPageBreak/>
              <w:t>обучающимися</w:t>
            </w:r>
            <w:proofErr w:type="gramEnd"/>
            <w:r w:rsidRPr="00232EFB">
              <w:rPr>
                <w:szCs w:val="28"/>
                <w:lang w:eastAsia="en-US"/>
              </w:rPr>
              <w:t xml:space="preserve">, которые содействовали бы наиболее эффективному решению задач обучения и воспитания; 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11"/>
              </w:numPr>
              <w:spacing w:line="360" w:lineRule="auto"/>
              <w:ind w:left="0" w:firstLine="256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 xml:space="preserve">проявляет уважительное, заинтересованное отношение к тем ценностям, которые составляют содержание позиции </w:t>
            </w:r>
            <w:proofErr w:type="gramStart"/>
            <w:r w:rsidRPr="00232EFB">
              <w:rPr>
                <w:szCs w:val="28"/>
                <w:lang w:eastAsia="en-US"/>
              </w:rPr>
              <w:t>обучающегося</w:t>
            </w:r>
            <w:proofErr w:type="gramEnd"/>
            <w:r w:rsidRPr="00232EFB">
              <w:rPr>
                <w:szCs w:val="28"/>
                <w:lang w:eastAsia="en-US"/>
              </w:rPr>
              <w:t>;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11"/>
              </w:numPr>
              <w:spacing w:line="360" w:lineRule="auto"/>
              <w:ind w:left="0" w:firstLine="256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>владеет приемами профессионального общения с коллегами;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11"/>
              </w:numPr>
              <w:spacing w:line="360" w:lineRule="auto"/>
              <w:ind w:left="0" w:firstLine="256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>планирует деятельность группы (курса) с участием обучающихся, их родителей (законных представителей), сотрудников образовательной организации, в том числе планирует досуговые и социально значимые мероприятия, включения студентов группы в разнообразные социокультурные практики, профессиональную деятельность;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11"/>
              </w:numPr>
              <w:spacing w:line="360" w:lineRule="auto"/>
              <w:ind w:left="0" w:firstLine="256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>оказывает организационно-педагогическую поддержку формирования и деятельности органов самоуправления группы;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11"/>
              </w:numPr>
              <w:spacing w:line="360" w:lineRule="auto"/>
              <w:ind w:left="0" w:firstLine="256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>осуществляет организационно-педагогическую поддержку общественной, научной, творческой и предпринимательской активности студентов;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11"/>
              </w:numPr>
              <w:spacing w:line="360" w:lineRule="auto"/>
              <w:ind w:left="0" w:firstLine="256"/>
              <w:jc w:val="both"/>
              <w:rPr>
                <w:szCs w:val="28"/>
                <w:lang w:eastAsia="en-US"/>
              </w:rPr>
            </w:pPr>
            <w:r w:rsidRPr="00232EFB">
              <w:rPr>
                <w:szCs w:val="28"/>
                <w:lang w:eastAsia="en-US"/>
              </w:rPr>
              <w:t xml:space="preserve">ведет документацию </w:t>
            </w:r>
            <w:r w:rsidR="00232EFB">
              <w:rPr>
                <w:szCs w:val="28"/>
                <w:lang w:eastAsia="en-US"/>
              </w:rPr>
              <w:t>группы.</w:t>
            </w:r>
          </w:p>
        </w:tc>
      </w:tr>
      <w:tr w:rsidR="00CE655B" w:rsidRPr="00232EFB" w:rsidTr="00232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B" w:rsidRPr="00232EFB" w:rsidRDefault="00CE655B" w:rsidP="00232EFB">
            <w:pPr>
              <w:pStyle w:val="a6"/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B" w:rsidRPr="00232EFB" w:rsidRDefault="00CE655B" w:rsidP="00232EFB">
            <w:pPr>
              <w:spacing w:line="360" w:lineRule="auto"/>
              <w:ind w:firstLine="567"/>
              <w:contextualSpacing/>
              <w:jc w:val="both"/>
              <w:rPr>
                <w:szCs w:val="28"/>
              </w:rPr>
            </w:pPr>
            <w:r w:rsidRPr="00232EFB">
              <w:rPr>
                <w:b/>
                <w:szCs w:val="28"/>
                <w:lang w:eastAsia="en-US"/>
              </w:rPr>
              <w:t>Дифференциально-психологическая компетентность в области мотивов, способностей, направленности обучаемых</w:t>
            </w:r>
            <w:r w:rsidRPr="00232EFB">
              <w:rPr>
                <w:szCs w:val="28"/>
              </w:rPr>
              <w:t xml:space="preserve"> включает умение выявлять личностные особенности, установки и </w:t>
            </w:r>
            <w:r w:rsidRPr="00232EFB">
              <w:rPr>
                <w:szCs w:val="28"/>
              </w:rPr>
              <w:lastRenderedPageBreak/>
              <w:t>направленность обучаемых, определять и учитывать эмоциональное состояние людей; умение грамотно строить взаимоотношения с руководителями, коллегами, учащимися.</w:t>
            </w:r>
          </w:p>
          <w:p w:rsidR="00CE655B" w:rsidRPr="00232EFB" w:rsidRDefault="00CE655B" w:rsidP="00232EFB">
            <w:pPr>
              <w:spacing w:line="360" w:lineRule="auto"/>
              <w:ind w:firstLine="567"/>
              <w:contextualSpacing/>
              <w:jc w:val="both"/>
              <w:rPr>
                <w:szCs w:val="28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5B" w:rsidRPr="00232EFB" w:rsidRDefault="00CE655B" w:rsidP="00232EFB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25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учитывает особенности </w:t>
            </w:r>
            <w:proofErr w:type="gramStart"/>
            <w:r w:rsidRPr="00232EFB">
              <w:rPr>
                <w:rFonts w:ascii="Times New Roman" w:hAnsi="Times New Roman" w:cs="Times New Roman"/>
                <w:sz w:val="24"/>
                <w:szCs w:val="28"/>
              </w:rPr>
              <w:t>конкретных</w:t>
            </w:r>
            <w:proofErr w:type="gramEnd"/>
            <w:r w:rsidRPr="00232EFB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 в соответствии с индивидуальными и возрастными характеристиками при отборе содержания материала;</w:t>
            </w:r>
          </w:p>
          <w:p w:rsidR="00CE655B" w:rsidRPr="00232EFB" w:rsidRDefault="00CE655B" w:rsidP="00232EFB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25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FB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консультирует обучающихся и их </w:t>
            </w:r>
            <w:r w:rsidRPr="00232E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родителей (законных представителей) по вопросам </w:t>
            </w:r>
            <w:proofErr w:type="gramStart"/>
            <w:r w:rsidRPr="00232EFB">
              <w:rPr>
                <w:rFonts w:ascii="Times New Roman" w:hAnsi="Times New Roman" w:cs="Times New Roman"/>
                <w:sz w:val="24"/>
                <w:szCs w:val="28"/>
              </w:rPr>
              <w:t>профессионального</w:t>
            </w:r>
            <w:proofErr w:type="gramEnd"/>
            <w:r w:rsidRPr="00232EFB">
              <w:rPr>
                <w:rFonts w:ascii="Times New Roman" w:hAnsi="Times New Roman" w:cs="Times New Roman"/>
                <w:sz w:val="24"/>
                <w:szCs w:val="28"/>
              </w:rPr>
              <w:t xml:space="preserve"> само</w:t>
            </w:r>
          </w:p>
          <w:p w:rsidR="00CE655B" w:rsidRPr="00232EFB" w:rsidRDefault="00CE655B" w:rsidP="00232EFB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25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FB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определения, профессионального развития, профессиональной адаптации </w:t>
            </w:r>
            <w:proofErr w:type="gramStart"/>
            <w:r w:rsidRPr="00232EFB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232EF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E655B" w:rsidRPr="00232EFB" w:rsidRDefault="00CE655B" w:rsidP="00232EFB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25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FB">
              <w:rPr>
                <w:rFonts w:ascii="Times New Roman" w:hAnsi="Times New Roman" w:cs="Times New Roman"/>
                <w:sz w:val="24"/>
                <w:szCs w:val="28"/>
              </w:rPr>
              <w:t>информирует и консультирует школьников и их родителей (законных представителей) по вопросам профессионального самоопределения и профессионального выбора;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12"/>
              </w:numPr>
              <w:spacing w:line="360" w:lineRule="auto"/>
              <w:ind w:left="0" w:firstLine="256"/>
              <w:jc w:val="both"/>
              <w:rPr>
                <w:szCs w:val="28"/>
              </w:rPr>
            </w:pPr>
            <w:r w:rsidRPr="00232EFB">
              <w:rPr>
                <w:szCs w:val="28"/>
              </w:rPr>
              <w:t xml:space="preserve">проводит </w:t>
            </w:r>
            <w:proofErr w:type="spellStart"/>
            <w:r w:rsidRPr="00232EFB">
              <w:rPr>
                <w:szCs w:val="28"/>
              </w:rPr>
              <w:t>практикоориентированные</w:t>
            </w:r>
            <w:proofErr w:type="spellEnd"/>
            <w:r w:rsidRPr="00232EFB">
              <w:rPr>
                <w:szCs w:val="28"/>
              </w:rPr>
              <w:t xml:space="preserve"> </w:t>
            </w:r>
            <w:proofErr w:type="spellStart"/>
            <w:r w:rsidRPr="00232EFB">
              <w:rPr>
                <w:szCs w:val="28"/>
              </w:rPr>
              <w:t>профориентационные</w:t>
            </w:r>
            <w:proofErr w:type="spellEnd"/>
            <w:r w:rsidRPr="00232EFB">
              <w:rPr>
                <w:szCs w:val="28"/>
              </w:rPr>
              <w:t xml:space="preserve"> мероприятия со школьниками и их родител</w:t>
            </w:r>
            <w:r w:rsidR="00232EFB">
              <w:rPr>
                <w:szCs w:val="28"/>
              </w:rPr>
              <w:t>ями (законными представителями).</w:t>
            </w:r>
          </w:p>
        </w:tc>
      </w:tr>
      <w:tr w:rsidR="00CE655B" w:rsidRPr="00232EFB" w:rsidTr="00232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B" w:rsidRPr="00232EFB" w:rsidRDefault="00CE655B" w:rsidP="00232EFB">
            <w:pPr>
              <w:pStyle w:val="a6"/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B" w:rsidRPr="00232EFB" w:rsidRDefault="00CE655B" w:rsidP="00232EFB">
            <w:pPr>
              <w:spacing w:line="360" w:lineRule="auto"/>
              <w:ind w:firstLine="567"/>
              <w:contextualSpacing/>
              <w:jc w:val="both"/>
              <w:rPr>
                <w:szCs w:val="28"/>
              </w:rPr>
            </w:pPr>
            <w:r w:rsidRPr="00232EFB">
              <w:rPr>
                <w:b/>
                <w:szCs w:val="28"/>
              </w:rPr>
              <w:t>Рефлексия педагогической деятельности, или аутопсихологическая компетентность</w:t>
            </w:r>
            <w:r w:rsidRPr="00232EFB">
              <w:rPr>
                <w:szCs w:val="28"/>
              </w:rPr>
              <w:t xml:space="preserve"> подразумевает умение осознавать уровень собственной деятельности, своих способностей; знание о способах профессионального самосовершенствования; умение видеть причины недостатков в своей работе, в себе; желание самосовершенствования.</w:t>
            </w:r>
          </w:p>
          <w:p w:rsidR="00CE655B" w:rsidRPr="00232EFB" w:rsidRDefault="00CE655B" w:rsidP="00232EFB">
            <w:pPr>
              <w:spacing w:line="360" w:lineRule="auto"/>
              <w:ind w:firstLine="567"/>
              <w:contextualSpacing/>
              <w:jc w:val="both"/>
              <w:rPr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5B" w:rsidRPr="00232EFB" w:rsidRDefault="00CE655B" w:rsidP="00232EFB">
            <w:pPr>
              <w:pStyle w:val="a4"/>
              <w:numPr>
                <w:ilvl w:val="0"/>
                <w:numId w:val="13"/>
              </w:numPr>
              <w:spacing w:line="360" w:lineRule="auto"/>
              <w:ind w:left="0" w:firstLine="25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FB">
              <w:rPr>
                <w:rFonts w:ascii="Times New Roman" w:hAnsi="Times New Roman" w:cs="Times New Roman"/>
                <w:sz w:val="24"/>
                <w:szCs w:val="28"/>
              </w:rPr>
              <w:t>анализирует проведение учебных занятий и организацию самостоятельной работы обучающихся;</w:t>
            </w:r>
          </w:p>
          <w:p w:rsidR="00CE655B" w:rsidRPr="00232EFB" w:rsidRDefault="00CE655B" w:rsidP="00232EFB">
            <w:pPr>
              <w:pStyle w:val="a4"/>
              <w:numPr>
                <w:ilvl w:val="0"/>
                <w:numId w:val="13"/>
              </w:numPr>
              <w:spacing w:line="360" w:lineRule="auto"/>
              <w:ind w:left="0" w:firstLine="25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EFB">
              <w:rPr>
                <w:rFonts w:ascii="Times New Roman" w:hAnsi="Times New Roman" w:cs="Times New Roman"/>
                <w:sz w:val="24"/>
                <w:szCs w:val="28"/>
              </w:rPr>
              <w:t>вносит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деятельность;</w:t>
            </w:r>
          </w:p>
          <w:p w:rsidR="00CE655B" w:rsidRPr="00232EFB" w:rsidRDefault="00CE655B" w:rsidP="00232EFB">
            <w:pPr>
              <w:pStyle w:val="a6"/>
              <w:numPr>
                <w:ilvl w:val="0"/>
                <w:numId w:val="13"/>
              </w:numPr>
              <w:spacing w:line="360" w:lineRule="auto"/>
              <w:ind w:left="0" w:firstLine="256"/>
              <w:jc w:val="both"/>
              <w:rPr>
                <w:szCs w:val="28"/>
              </w:rPr>
            </w:pPr>
            <w:r w:rsidRPr="00232EFB">
              <w:rPr>
                <w:szCs w:val="28"/>
              </w:rPr>
              <w:t>анализирует применение выбранных форм и методов педагогической диагностики, оценочных средств, корректирует их и соб</w:t>
            </w:r>
            <w:r w:rsidR="00232EFB">
              <w:rPr>
                <w:szCs w:val="28"/>
              </w:rPr>
              <w:t>ственную оценочную деятельность.</w:t>
            </w:r>
          </w:p>
        </w:tc>
      </w:tr>
    </w:tbl>
    <w:p w:rsidR="00CE655B" w:rsidRPr="00232EFB" w:rsidRDefault="00CE655B" w:rsidP="00232EFB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F70D27" w:rsidRPr="00232EFB" w:rsidRDefault="00F70D27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 xml:space="preserve">Определенные нами компетенции </w:t>
      </w:r>
      <w:r w:rsidR="00CE655B" w:rsidRPr="00232EFB">
        <w:rPr>
          <w:sz w:val="28"/>
          <w:szCs w:val="28"/>
          <w:lang w:eastAsia="en-US"/>
        </w:rPr>
        <w:t xml:space="preserve">педагога можно </w:t>
      </w:r>
      <w:r w:rsidR="00E62F18" w:rsidRPr="00232EFB">
        <w:rPr>
          <w:sz w:val="28"/>
          <w:szCs w:val="28"/>
          <w:lang w:eastAsia="en-US"/>
        </w:rPr>
        <w:t>кластеризировать следующим образом:</w:t>
      </w:r>
    </w:p>
    <w:p w:rsidR="00F70D27" w:rsidRPr="00232EFB" w:rsidRDefault="00CE655B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Общепрофессиональные компетенции</w:t>
      </w:r>
      <w:r w:rsidR="00F70D27" w:rsidRPr="00232EFB">
        <w:rPr>
          <w:sz w:val="28"/>
          <w:szCs w:val="28"/>
          <w:lang w:eastAsia="en-US"/>
        </w:rPr>
        <w:t xml:space="preserve"> (Специальная компетентность в области преподаваемой дисциплины, Психолого-педагогическая компетентность в сфере обучения, Рефлексия педагогической деятельности, </w:t>
      </w:r>
      <w:r w:rsidR="00F70D27" w:rsidRPr="00232EFB">
        <w:rPr>
          <w:sz w:val="28"/>
          <w:szCs w:val="28"/>
          <w:lang w:eastAsia="en-US"/>
        </w:rPr>
        <w:lastRenderedPageBreak/>
        <w:t>или аутопсихологическая компетентность) являются инвариантными для широкой области профессиональной деятельности, в нашем случае, для всех сфер, отраслей, уровней и направления «Педагогическое образование» независимо от специализации и должности</w:t>
      </w:r>
      <w:r w:rsidR="00B75D68" w:rsidRPr="00232EFB">
        <w:rPr>
          <w:sz w:val="28"/>
          <w:szCs w:val="28"/>
          <w:lang w:eastAsia="en-US"/>
        </w:rPr>
        <w:t>.</w:t>
      </w:r>
    </w:p>
    <w:p w:rsidR="00F70D27" w:rsidRPr="00232EFB" w:rsidRDefault="00CE655B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Специальные компетенции</w:t>
      </w:r>
      <w:r w:rsidR="00F70D27" w:rsidRPr="00232EFB">
        <w:rPr>
          <w:sz w:val="28"/>
          <w:szCs w:val="28"/>
          <w:lang w:eastAsia="en-US"/>
        </w:rPr>
        <w:t xml:space="preserve"> (Методическая компетентность в области способов формирования знаний, умений и навыков учащихся) определяется требованиями профессионального стандарта педагога</w:t>
      </w:r>
      <w:r w:rsidR="00E62F18" w:rsidRPr="00232EFB">
        <w:rPr>
          <w:sz w:val="28"/>
          <w:szCs w:val="28"/>
          <w:lang w:eastAsia="en-US"/>
        </w:rPr>
        <w:t>.</w:t>
      </w:r>
      <w:r w:rsidR="00F70D27" w:rsidRPr="00232EFB">
        <w:rPr>
          <w:sz w:val="28"/>
          <w:szCs w:val="28"/>
          <w:lang w:eastAsia="en-US"/>
        </w:rPr>
        <w:t xml:space="preserve"> </w:t>
      </w:r>
    </w:p>
    <w:p w:rsidR="00232EFB" w:rsidRPr="00232EFB" w:rsidRDefault="00232EFB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C65C04">
        <w:rPr>
          <w:sz w:val="28"/>
          <w:szCs w:val="28"/>
          <w:lang w:eastAsia="en-US"/>
        </w:rPr>
        <w:t xml:space="preserve">На основе определения </w:t>
      </w:r>
      <w:proofErr w:type="spellStart"/>
      <w:r w:rsidRPr="00C65C04">
        <w:rPr>
          <w:sz w:val="28"/>
          <w:szCs w:val="28"/>
          <w:lang w:eastAsia="en-US"/>
        </w:rPr>
        <w:t>сформировннности</w:t>
      </w:r>
      <w:proofErr w:type="spellEnd"/>
      <w:r w:rsidRPr="00C65C04">
        <w:rPr>
          <w:sz w:val="28"/>
          <w:szCs w:val="28"/>
          <w:lang w:eastAsia="en-US"/>
        </w:rPr>
        <w:t xml:space="preserve"> компетенций педагога </w:t>
      </w:r>
      <w:r>
        <w:rPr>
          <w:sz w:val="28"/>
          <w:szCs w:val="28"/>
          <w:lang w:eastAsia="en-US"/>
        </w:rPr>
        <w:t xml:space="preserve">ГБПОУ УМТ </w:t>
      </w:r>
      <w:r w:rsidRPr="00C65C04">
        <w:rPr>
          <w:sz w:val="28"/>
          <w:szCs w:val="28"/>
          <w:lang w:eastAsia="en-US"/>
        </w:rPr>
        <w:t xml:space="preserve">проводиться оценка качества </w:t>
      </w:r>
      <w:r>
        <w:rPr>
          <w:sz w:val="28"/>
          <w:szCs w:val="28"/>
          <w:lang w:eastAsia="en-US"/>
        </w:rPr>
        <w:t xml:space="preserve">его </w:t>
      </w:r>
      <w:r w:rsidRPr="00C65C04">
        <w:rPr>
          <w:sz w:val="28"/>
          <w:szCs w:val="28"/>
          <w:lang w:eastAsia="en-US"/>
        </w:rPr>
        <w:t>деятельности</w:t>
      </w:r>
      <w:r>
        <w:rPr>
          <w:sz w:val="28"/>
          <w:szCs w:val="28"/>
          <w:lang w:eastAsia="en-US"/>
        </w:rPr>
        <w:t>.</w:t>
      </w:r>
      <w:r w:rsidRPr="00C65C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 этом учитывались следующие основные требования диагностики:</w:t>
      </w:r>
    </w:p>
    <w:p w:rsidR="00232EFB" w:rsidRPr="006748B8" w:rsidRDefault="00232EFB" w:rsidP="006748B8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748B8">
        <w:rPr>
          <w:sz w:val="28"/>
          <w:szCs w:val="28"/>
          <w:lang w:eastAsia="en-US"/>
        </w:rPr>
        <w:t>Изучение профессиональной компетентности должно быть направлено на выявление индивидуальных особенностей профессионального роста.</w:t>
      </w:r>
    </w:p>
    <w:p w:rsidR="00232EFB" w:rsidRPr="006748B8" w:rsidRDefault="00232EFB" w:rsidP="006748B8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748B8">
        <w:rPr>
          <w:sz w:val="28"/>
          <w:szCs w:val="28"/>
          <w:lang w:eastAsia="en-US"/>
        </w:rPr>
        <w:t xml:space="preserve">Оценка профессионально-педагогической компетентности должна проводиться не только путем сравнения полученных результатов с какими-либо нормами, средними величинами, но и путем сопоставления их с результатами предыдущих </w:t>
      </w:r>
      <w:proofErr w:type="spellStart"/>
      <w:r w:rsidRPr="006748B8">
        <w:rPr>
          <w:sz w:val="28"/>
          <w:szCs w:val="28"/>
          <w:lang w:eastAsia="en-US"/>
        </w:rPr>
        <w:t>диагностирований</w:t>
      </w:r>
      <w:proofErr w:type="spellEnd"/>
      <w:r w:rsidRPr="006748B8">
        <w:rPr>
          <w:sz w:val="28"/>
          <w:szCs w:val="28"/>
          <w:lang w:eastAsia="en-US"/>
        </w:rPr>
        <w:t xml:space="preserve"> (не обязательно проводимых в связи с аттестацией) с целью выявления характера продвижения в развитии, профессиональном росте педагога.</w:t>
      </w:r>
    </w:p>
    <w:p w:rsidR="00232EFB" w:rsidRPr="006748B8" w:rsidRDefault="00232EFB" w:rsidP="006748B8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748B8">
        <w:rPr>
          <w:sz w:val="28"/>
          <w:szCs w:val="28"/>
          <w:lang w:eastAsia="en-US"/>
        </w:rPr>
        <w:t>Диагностика профессиональной компетентности нужна не только для выявления актуального уровня, но и для определения возможных индивидуальных путей совершенствования.</w:t>
      </w:r>
    </w:p>
    <w:p w:rsidR="00232EFB" w:rsidRPr="006748B8" w:rsidRDefault="00232EFB" w:rsidP="006748B8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748B8">
        <w:rPr>
          <w:sz w:val="28"/>
          <w:szCs w:val="28"/>
          <w:lang w:eastAsia="en-US"/>
        </w:rPr>
        <w:t>Изучение профессионально-педагогической компетентности должно опираться на самоанализ, самодиагностику результативности профессиональной деятельности педагогов и руководителей для создания мотивации самосовершенствования и профессионального Роста.</w:t>
      </w:r>
    </w:p>
    <w:p w:rsidR="00232EFB" w:rsidRPr="006748B8" w:rsidRDefault="00232EFB" w:rsidP="006748B8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748B8">
        <w:rPr>
          <w:sz w:val="28"/>
          <w:szCs w:val="28"/>
          <w:lang w:eastAsia="en-US"/>
        </w:rPr>
        <w:t>Уровень профессиональной компетентности должен рассматриваться как содержательная характеристика деятельности преподавателя, а процесс самосовершенствования, профессионального роста — как развитие, смена качественно своеобразных этапов деятельности.</w:t>
      </w:r>
    </w:p>
    <w:p w:rsidR="00232EFB" w:rsidRPr="00232EFB" w:rsidRDefault="00232EFB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lastRenderedPageBreak/>
        <w:t>Результатами диагностики следует руководствоваться для построения обоснованной системы работы с кадрами. Изучение работы инженерно-педагогических кадров на диагностической основе позволяет вести работу по обобщению и распространению передового педагогического опыта. Позволит обеспечить прозрачность и обоснование уровня сформированности каждой компетенции педагога.</w:t>
      </w:r>
    </w:p>
    <w:p w:rsidR="00232EFB" w:rsidRPr="00232EFB" w:rsidRDefault="00232EFB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C65C04">
        <w:rPr>
          <w:sz w:val="28"/>
          <w:szCs w:val="28"/>
          <w:lang w:eastAsia="en-US"/>
        </w:rPr>
        <w:t xml:space="preserve">На основе определения </w:t>
      </w:r>
      <w:proofErr w:type="spellStart"/>
      <w:r w:rsidRPr="00C65C04">
        <w:rPr>
          <w:sz w:val="28"/>
          <w:szCs w:val="28"/>
          <w:lang w:eastAsia="en-US"/>
        </w:rPr>
        <w:t>сформировннности</w:t>
      </w:r>
      <w:proofErr w:type="spellEnd"/>
      <w:r w:rsidRPr="00C65C04">
        <w:rPr>
          <w:sz w:val="28"/>
          <w:szCs w:val="28"/>
          <w:lang w:eastAsia="en-US"/>
        </w:rPr>
        <w:t xml:space="preserve"> компетенций педагога </w:t>
      </w:r>
      <w:r>
        <w:rPr>
          <w:sz w:val="28"/>
          <w:szCs w:val="28"/>
          <w:lang w:eastAsia="en-US"/>
        </w:rPr>
        <w:t xml:space="preserve">ГБПОУ УМТ </w:t>
      </w:r>
      <w:r w:rsidRPr="00C65C04">
        <w:rPr>
          <w:sz w:val="28"/>
          <w:szCs w:val="28"/>
          <w:lang w:eastAsia="en-US"/>
        </w:rPr>
        <w:t xml:space="preserve">проводиться оценка качества </w:t>
      </w:r>
      <w:r>
        <w:rPr>
          <w:sz w:val="28"/>
          <w:szCs w:val="28"/>
          <w:lang w:eastAsia="en-US"/>
        </w:rPr>
        <w:t xml:space="preserve">его </w:t>
      </w:r>
      <w:r w:rsidRPr="00C65C04">
        <w:rPr>
          <w:sz w:val="28"/>
          <w:szCs w:val="28"/>
          <w:lang w:eastAsia="en-US"/>
        </w:rPr>
        <w:t>деятельности</w:t>
      </w:r>
      <w:r>
        <w:rPr>
          <w:sz w:val="28"/>
          <w:szCs w:val="28"/>
          <w:lang w:eastAsia="en-US"/>
        </w:rPr>
        <w:t>.</w:t>
      </w:r>
      <w:r w:rsidRPr="00C65C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 этом учитывались следующие основные требования диагностики:</w:t>
      </w:r>
    </w:p>
    <w:p w:rsidR="00232EFB" w:rsidRPr="006748B8" w:rsidRDefault="00232EFB" w:rsidP="006748B8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748B8">
        <w:rPr>
          <w:sz w:val="28"/>
          <w:szCs w:val="28"/>
          <w:lang w:eastAsia="en-US"/>
        </w:rPr>
        <w:t>Изучение профессиональной компетентности должно быть направлено на выявление индивидуальных особенностей профессионального роста.</w:t>
      </w:r>
    </w:p>
    <w:p w:rsidR="00232EFB" w:rsidRPr="006748B8" w:rsidRDefault="00232EFB" w:rsidP="006748B8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748B8">
        <w:rPr>
          <w:sz w:val="28"/>
          <w:szCs w:val="28"/>
          <w:lang w:eastAsia="en-US"/>
        </w:rPr>
        <w:t xml:space="preserve">Оценка профессионально-педагогической компетентности должна проводиться не только путем сравнения полученных результатов с какими-либо нормами, средними величинами, но и путем сопоставления их с результатами предыдущих </w:t>
      </w:r>
      <w:proofErr w:type="spellStart"/>
      <w:r w:rsidRPr="006748B8">
        <w:rPr>
          <w:sz w:val="28"/>
          <w:szCs w:val="28"/>
          <w:lang w:eastAsia="en-US"/>
        </w:rPr>
        <w:t>диагностирований</w:t>
      </w:r>
      <w:proofErr w:type="spellEnd"/>
      <w:r w:rsidRPr="006748B8">
        <w:rPr>
          <w:sz w:val="28"/>
          <w:szCs w:val="28"/>
          <w:lang w:eastAsia="en-US"/>
        </w:rPr>
        <w:t xml:space="preserve"> (не обязательно проводимых в связи с аттестацией) с целью выявления характера продвижения в развитии, профессиональном росте педагога.</w:t>
      </w:r>
    </w:p>
    <w:p w:rsidR="00232EFB" w:rsidRPr="006748B8" w:rsidRDefault="00232EFB" w:rsidP="006748B8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748B8">
        <w:rPr>
          <w:sz w:val="28"/>
          <w:szCs w:val="28"/>
          <w:lang w:eastAsia="en-US"/>
        </w:rPr>
        <w:t>Диагностика профессиональной компетентности нужна не только для выявления актуального уровня, но и для определения возможных индивидуальных путей совершенствования.</w:t>
      </w:r>
    </w:p>
    <w:p w:rsidR="00232EFB" w:rsidRPr="006748B8" w:rsidRDefault="00232EFB" w:rsidP="006748B8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748B8">
        <w:rPr>
          <w:sz w:val="28"/>
          <w:szCs w:val="28"/>
          <w:lang w:eastAsia="en-US"/>
        </w:rPr>
        <w:t>Изучение профессионально-педагогической компетентности должно опираться на самоанализ, самодиагностику результативности профессиональной деятельности педагогов и руководителей для создания мотивации самосовершенствования и профессионального Роста.</w:t>
      </w:r>
    </w:p>
    <w:p w:rsidR="00232EFB" w:rsidRPr="006748B8" w:rsidRDefault="00232EFB" w:rsidP="006748B8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748B8">
        <w:rPr>
          <w:sz w:val="28"/>
          <w:szCs w:val="28"/>
          <w:lang w:eastAsia="en-US"/>
        </w:rPr>
        <w:t>Уровень профессиональной компетентности должен рассматриваться как содержательная характеристика деятельности преподавателя, а процесс самосовершенствования, профессионального роста — как развитие, смена качественно своеобразных этапов деятельности.</w:t>
      </w:r>
    </w:p>
    <w:p w:rsidR="00232EFB" w:rsidRPr="00773DFD" w:rsidRDefault="00232EFB" w:rsidP="00232EFB">
      <w:pPr>
        <w:spacing w:line="360" w:lineRule="auto"/>
        <w:ind w:firstLine="567"/>
        <w:contextualSpacing/>
        <w:jc w:val="both"/>
        <w:rPr>
          <w:sz w:val="28"/>
        </w:rPr>
      </w:pPr>
      <w:r w:rsidRPr="00232EFB">
        <w:rPr>
          <w:sz w:val="28"/>
          <w:szCs w:val="28"/>
          <w:lang w:eastAsia="en-US"/>
        </w:rPr>
        <w:t>Результатами диагностики следует руководствоваться для построения обоснованной системы работы с кадрами. Изучение работы инженерно-</w:t>
      </w:r>
      <w:r w:rsidRPr="00232EFB">
        <w:rPr>
          <w:sz w:val="28"/>
          <w:szCs w:val="28"/>
          <w:lang w:eastAsia="en-US"/>
        </w:rPr>
        <w:lastRenderedPageBreak/>
        <w:t>педагогических кадров на диагностической основе позволяет вести работу по обобщению и распространению передового педагогического опыта. Позволит обеспечить прозрачность и обоснование уровня сформированности каждой компетенции педагога</w:t>
      </w:r>
      <w:r w:rsidRPr="00773DFD">
        <w:rPr>
          <w:sz w:val="28"/>
        </w:rPr>
        <w:t>.</w:t>
      </w:r>
    </w:p>
    <w:p w:rsidR="00B60B08" w:rsidRPr="00232EFB" w:rsidRDefault="00B60B08" w:rsidP="00232EFB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</w:p>
    <w:p w:rsidR="00B60B08" w:rsidRPr="00232EFB" w:rsidRDefault="00B60B08" w:rsidP="00232EFB">
      <w:pPr>
        <w:spacing w:line="360" w:lineRule="auto"/>
        <w:ind w:firstLine="567"/>
        <w:contextualSpacing/>
        <w:jc w:val="both"/>
        <w:rPr>
          <w:b/>
          <w:bCs/>
          <w:i/>
          <w:iCs/>
          <w:color w:val="000000"/>
          <w:sz w:val="28"/>
          <w:szCs w:val="28"/>
          <w:shd w:val="clear" w:color="auto" w:fill="F5F5F5"/>
        </w:rPr>
      </w:pPr>
      <w:r w:rsidRPr="00232EFB">
        <w:rPr>
          <w:rStyle w:val="a9"/>
          <w:i/>
          <w:iCs/>
          <w:color w:val="000000"/>
          <w:sz w:val="28"/>
          <w:szCs w:val="28"/>
          <w:shd w:val="clear" w:color="auto" w:fill="F5F5F5"/>
        </w:rPr>
        <w:t>Список литературы</w:t>
      </w:r>
    </w:p>
    <w:p w:rsidR="00B005BC" w:rsidRPr="00232EFB" w:rsidRDefault="00B005BC" w:rsidP="006748B8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</w:rPr>
        <w:t xml:space="preserve"> </w:t>
      </w:r>
      <w:proofErr w:type="spellStart"/>
      <w:r w:rsidRPr="00232EFB">
        <w:rPr>
          <w:sz w:val="28"/>
          <w:szCs w:val="28"/>
          <w:lang w:eastAsia="en-US"/>
        </w:rPr>
        <w:t>Байденко</w:t>
      </w:r>
      <w:proofErr w:type="spellEnd"/>
      <w:r w:rsidRPr="00232EFB">
        <w:rPr>
          <w:sz w:val="28"/>
          <w:szCs w:val="28"/>
          <w:lang w:eastAsia="en-US"/>
        </w:rPr>
        <w:t xml:space="preserve"> В.И. Компетенции в профессиональном образовании (к освоению компетентностного подхода) // Высшее образование в России. — 2004. —№ 11. —С. 17-22</w:t>
      </w:r>
    </w:p>
    <w:p w:rsidR="00B005BC" w:rsidRPr="00232EFB" w:rsidRDefault="00B005BC" w:rsidP="006748B8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Владимирова В.В. Использование техники модерирования для повышения уровня компетентности студентов и преподавателей.</w:t>
      </w:r>
    </w:p>
    <w:p w:rsidR="00B005BC" w:rsidRPr="00232EFB" w:rsidRDefault="00B005BC" w:rsidP="006748B8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Котова Т.И. Компетентностный подход к личности обучаемого через компетенции преподавателя вуза.</w:t>
      </w:r>
    </w:p>
    <w:p w:rsidR="00B005BC" w:rsidRPr="00232EFB" w:rsidRDefault="00B005BC" w:rsidP="006748B8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 xml:space="preserve">Кутейникова И.Х. Профессиональная нравственность как важный элемент педагогической квалификации // Интеграция методической (научно-методической) работы и системы повышения квалификации кадров: материалы межрегиональной науч.- </w:t>
      </w:r>
      <w:proofErr w:type="spellStart"/>
      <w:r w:rsidRPr="00232EFB">
        <w:rPr>
          <w:sz w:val="28"/>
          <w:szCs w:val="28"/>
          <w:lang w:eastAsia="en-US"/>
        </w:rPr>
        <w:t>практ</w:t>
      </w:r>
      <w:proofErr w:type="spellEnd"/>
      <w:r w:rsidRPr="00232EFB">
        <w:rPr>
          <w:sz w:val="28"/>
          <w:szCs w:val="28"/>
          <w:lang w:eastAsia="en-US"/>
        </w:rPr>
        <w:t xml:space="preserve">. </w:t>
      </w:r>
      <w:proofErr w:type="spellStart"/>
      <w:r w:rsidRPr="00232EFB">
        <w:rPr>
          <w:sz w:val="28"/>
          <w:szCs w:val="28"/>
          <w:lang w:eastAsia="en-US"/>
        </w:rPr>
        <w:t>конф</w:t>
      </w:r>
      <w:proofErr w:type="spellEnd"/>
      <w:r w:rsidRPr="00232EFB">
        <w:rPr>
          <w:sz w:val="28"/>
          <w:szCs w:val="28"/>
          <w:lang w:eastAsia="en-US"/>
        </w:rPr>
        <w:t>. - Челябинск, 2002. - Ч. I, стр. 46-48.</w:t>
      </w:r>
    </w:p>
    <w:p w:rsidR="00B005BC" w:rsidRPr="00232EFB" w:rsidRDefault="00B005BC" w:rsidP="006748B8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proofErr w:type="spellStart"/>
      <w:r w:rsidRPr="00232EFB">
        <w:rPr>
          <w:sz w:val="28"/>
          <w:szCs w:val="28"/>
          <w:lang w:eastAsia="en-US"/>
        </w:rPr>
        <w:t>Парахонский</w:t>
      </w:r>
      <w:proofErr w:type="spellEnd"/>
      <w:r w:rsidRPr="00232EFB">
        <w:rPr>
          <w:sz w:val="28"/>
          <w:szCs w:val="28"/>
          <w:lang w:eastAsia="en-US"/>
        </w:rPr>
        <w:t xml:space="preserve"> А.П. Профессиональная адаптация преподавателя // Сборник научных статей Кубанского медицинского института - Краснодар, 2005</w:t>
      </w:r>
    </w:p>
    <w:p w:rsidR="00B005BC" w:rsidRPr="00232EFB" w:rsidRDefault="00B005BC" w:rsidP="006748B8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proofErr w:type="spellStart"/>
      <w:r w:rsidRPr="00232EFB">
        <w:rPr>
          <w:sz w:val="28"/>
          <w:szCs w:val="28"/>
          <w:lang w:eastAsia="en-US"/>
        </w:rPr>
        <w:t>Сластенин</w:t>
      </w:r>
      <w:proofErr w:type="spellEnd"/>
      <w:r w:rsidRPr="00232EFB">
        <w:rPr>
          <w:sz w:val="28"/>
          <w:szCs w:val="28"/>
          <w:lang w:eastAsia="en-US"/>
        </w:rPr>
        <w:t xml:space="preserve"> В.А. и др. Педагогика: Учеб</w:t>
      </w:r>
      <w:proofErr w:type="gramStart"/>
      <w:r w:rsidRPr="00232EFB">
        <w:rPr>
          <w:sz w:val="28"/>
          <w:szCs w:val="28"/>
          <w:lang w:eastAsia="en-US"/>
        </w:rPr>
        <w:t>.</w:t>
      </w:r>
      <w:proofErr w:type="gramEnd"/>
      <w:r w:rsidRPr="00232EFB">
        <w:rPr>
          <w:sz w:val="28"/>
          <w:szCs w:val="28"/>
          <w:lang w:eastAsia="en-US"/>
        </w:rPr>
        <w:t xml:space="preserve"> </w:t>
      </w:r>
      <w:proofErr w:type="gramStart"/>
      <w:r w:rsidRPr="00232EFB">
        <w:rPr>
          <w:sz w:val="28"/>
          <w:szCs w:val="28"/>
          <w:lang w:eastAsia="en-US"/>
        </w:rPr>
        <w:t>п</w:t>
      </w:r>
      <w:proofErr w:type="gramEnd"/>
      <w:r w:rsidRPr="00232EFB">
        <w:rPr>
          <w:sz w:val="28"/>
          <w:szCs w:val="28"/>
          <w:lang w:eastAsia="en-US"/>
        </w:rPr>
        <w:t xml:space="preserve">особие для студ. </w:t>
      </w:r>
      <w:proofErr w:type="spellStart"/>
      <w:r w:rsidRPr="00232EFB">
        <w:rPr>
          <w:sz w:val="28"/>
          <w:szCs w:val="28"/>
          <w:lang w:eastAsia="en-US"/>
        </w:rPr>
        <w:t>высш</w:t>
      </w:r>
      <w:proofErr w:type="spellEnd"/>
      <w:r w:rsidRPr="00232EFB">
        <w:rPr>
          <w:sz w:val="28"/>
          <w:szCs w:val="28"/>
          <w:lang w:eastAsia="en-US"/>
        </w:rPr>
        <w:t xml:space="preserve">. </w:t>
      </w:r>
      <w:proofErr w:type="spellStart"/>
      <w:r w:rsidRPr="00232EFB">
        <w:rPr>
          <w:sz w:val="28"/>
          <w:szCs w:val="28"/>
          <w:lang w:eastAsia="en-US"/>
        </w:rPr>
        <w:t>пед</w:t>
      </w:r>
      <w:proofErr w:type="spellEnd"/>
      <w:r w:rsidRPr="00232EFB">
        <w:rPr>
          <w:sz w:val="28"/>
          <w:szCs w:val="28"/>
          <w:lang w:eastAsia="en-US"/>
        </w:rPr>
        <w:t xml:space="preserve">. учеб. заведений / В. А. </w:t>
      </w:r>
      <w:proofErr w:type="spellStart"/>
      <w:r w:rsidRPr="00232EFB">
        <w:rPr>
          <w:sz w:val="28"/>
          <w:szCs w:val="28"/>
          <w:lang w:eastAsia="en-US"/>
        </w:rPr>
        <w:t>Сластенин</w:t>
      </w:r>
      <w:proofErr w:type="spellEnd"/>
      <w:r w:rsidRPr="00232EFB">
        <w:rPr>
          <w:sz w:val="28"/>
          <w:szCs w:val="28"/>
          <w:lang w:eastAsia="en-US"/>
        </w:rPr>
        <w:t xml:space="preserve">, И. Ф. Исаев, Е. Н. </w:t>
      </w:r>
      <w:proofErr w:type="spellStart"/>
      <w:r w:rsidRPr="00232EFB">
        <w:rPr>
          <w:sz w:val="28"/>
          <w:szCs w:val="28"/>
          <w:lang w:eastAsia="en-US"/>
        </w:rPr>
        <w:t>Шиянов</w:t>
      </w:r>
      <w:proofErr w:type="spellEnd"/>
      <w:r w:rsidRPr="00232EFB">
        <w:rPr>
          <w:sz w:val="28"/>
          <w:szCs w:val="28"/>
          <w:lang w:eastAsia="en-US"/>
        </w:rPr>
        <w:t xml:space="preserve">; Под ред. В.А. </w:t>
      </w:r>
      <w:proofErr w:type="spellStart"/>
      <w:r w:rsidRPr="00232EFB">
        <w:rPr>
          <w:sz w:val="28"/>
          <w:szCs w:val="28"/>
          <w:lang w:eastAsia="en-US"/>
        </w:rPr>
        <w:t>Сластенина</w:t>
      </w:r>
      <w:proofErr w:type="spellEnd"/>
      <w:r w:rsidRPr="00232EFB">
        <w:rPr>
          <w:sz w:val="28"/>
          <w:szCs w:val="28"/>
          <w:lang w:eastAsia="en-US"/>
        </w:rPr>
        <w:t>. - М.: Издательский центр "Академия", 2002</w:t>
      </w:r>
    </w:p>
    <w:p w:rsidR="00B005BC" w:rsidRPr="00232EFB" w:rsidRDefault="00B005BC" w:rsidP="006748B8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>Фоломеева И.И., Воронцова А.Г. Диалог на вечную тему // Педагогика и история</w:t>
      </w:r>
    </w:p>
    <w:p w:rsidR="00B005BC" w:rsidRPr="00232EFB" w:rsidRDefault="00B005BC" w:rsidP="006748B8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32EFB">
        <w:rPr>
          <w:sz w:val="28"/>
          <w:szCs w:val="28"/>
          <w:lang w:eastAsia="en-US"/>
        </w:rPr>
        <w:t xml:space="preserve">Фролов А.Г., </w:t>
      </w:r>
      <w:proofErr w:type="spellStart"/>
      <w:r w:rsidRPr="00232EFB">
        <w:rPr>
          <w:sz w:val="28"/>
          <w:szCs w:val="28"/>
          <w:lang w:eastAsia="en-US"/>
        </w:rPr>
        <w:t>Хомочкина</w:t>
      </w:r>
      <w:proofErr w:type="spellEnd"/>
      <w:r w:rsidRPr="00232EFB">
        <w:rPr>
          <w:sz w:val="28"/>
          <w:szCs w:val="28"/>
          <w:lang w:eastAsia="en-US"/>
        </w:rPr>
        <w:t xml:space="preserve"> С.А., </w:t>
      </w:r>
      <w:proofErr w:type="spellStart"/>
      <w:r w:rsidRPr="00232EFB">
        <w:rPr>
          <w:sz w:val="28"/>
          <w:szCs w:val="28"/>
          <w:lang w:eastAsia="en-US"/>
        </w:rPr>
        <w:t>Матушанский</w:t>
      </w:r>
      <w:proofErr w:type="spellEnd"/>
      <w:r w:rsidRPr="00232EFB">
        <w:rPr>
          <w:sz w:val="28"/>
          <w:szCs w:val="28"/>
          <w:lang w:eastAsia="en-US"/>
        </w:rPr>
        <w:t xml:space="preserve"> Г.У. Адаптации преподавателя к профессионально-педагогической деятельности в высшей школе // Образовательные технологии и наука, № 9(2) - Казань, 2006, стр.268</w:t>
      </w:r>
    </w:p>
    <w:p w:rsidR="00B005BC" w:rsidRPr="00232EFB" w:rsidRDefault="00B005BC" w:rsidP="006748B8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proofErr w:type="spellStart"/>
      <w:r w:rsidRPr="00232EFB">
        <w:rPr>
          <w:sz w:val="28"/>
          <w:szCs w:val="28"/>
          <w:lang w:eastAsia="en-US"/>
        </w:rPr>
        <w:t>Чернилевский</w:t>
      </w:r>
      <w:proofErr w:type="spellEnd"/>
      <w:r w:rsidRPr="00232EFB">
        <w:rPr>
          <w:sz w:val="28"/>
          <w:szCs w:val="28"/>
          <w:lang w:eastAsia="en-US"/>
        </w:rPr>
        <w:t xml:space="preserve"> Д.В., Морозов А.В. Креативная педагогика и психология: Учеб</w:t>
      </w:r>
      <w:proofErr w:type="gramStart"/>
      <w:r w:rsidRPr="00232EFB">
        <w:rPr>
          <w:sz w:val="28"/>
          <w:szCs w:val="28"/>
          <w:lang w:eastAsia="en-US"/>
        </w:rPr>
        <w:t>.</w:t>
      </w:r>
      <w:proofErr w:type="gramEnd"/>
      <w:r w:rsidRPr="00232EFB">
        <w:rPr>
          <w:sz w:val="28"/>
          <w:szCs w:val="28"/>
          <w:lang w:eastAsia="en-US"/>
        </w:rPr>
        <w:t xml:space="preserve"> </w:t>
      </w:r>
      <w:proofErr w:type="gramStart"/>
      <w:r w:rsidRPr="00232EFB">
        <w:rPr>
          <w:sz w:val="28"/>
          <w:szCs w:val="28"/>
          <w:lang w:eastAsia="en-US"/>
        </w:rPr>
        <w:t>п</w:t>
      </w:r>
      <w:proofErr w:type="gramEnd"/>
      <w:r w:rsidRPr="00232EFB">
        <w:rPr>
          <w:sz w:val="28"/>
          <w:szCs w:val="28"/>
          <w:lang w:eastAsia="en-US"/>
        </w:rPr>
        <w:t>особие для вузов. М.: МГТА, 2001, стр.178</w:t>
      </w:r>
    </w:p>
    <w:p w:rsidR="00CE655B" w:rsidRPr="00232EFB" w:rsidRDefault="00CE655B" w:rsidP="00232EFB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sectPr w:rsidR="00CE655B" w:rsidRPr="00232EFB" w:rsidSect="00232E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CBC"/>
    <w:multiLevelType w:val="hybridMultilevel"/>
    <w:tmpl w:val="A6F6960A"/>
    <w:lvl w:ilvl="0" w:tplc="2A2E8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C97115"/>
    <w:multiLevelType w:val="hybridMultilevel"/>
    <w:tmpl w:val="6D00FA70"/>
    <w:lvl w:ilvl="0" w:tplc="2094210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203E7B"/>
    <w:multiLevelType w:val="hybridMultilevel"/>
    <w:tmpl w:val="45289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6539"/>
    <w:multiLevelType w:val="hybridMultilevel"/>
    <w:tmpl w:val="176E50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5232FE"/>
    <w:multiLevelType w:val="multilevel"/>
    <w:tmpl w:val="D722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80B3E"/>
    <w:multiLevelType w:val="multilevel"/>
    <w:tmpl w:val="E8B0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438C8"/>
    <w:multiLevelType w:val="hybridMultilevel"/>
    <w:tmpl w:val="06C03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E97ED5"/>
    <w:multiLevelType w:val="hybridMultilevel"/>
    <w:tmpl w:val="F1503080"/>
    <w:lvl w:ilvl="0" w:tplc="0D82A3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2D9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D8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EB2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C4B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8A5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A84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4FA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E7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57560"/>
    <w:multiLevelType w:val="hybridMultilevel"/>
    <w:tmpl w:val="6518DF66"/>
    <w:lvl w:ilvl="0" w:tplc="2A2E8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9F509F"/>
    <w:multiLevelType w:val="hybridMultilevel"/>
    <w:tmpl w:val="43986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D557DE"/>
    <w:multiLevelType w:val="hybridMultilevel"/>
    <w:tmpl w:val="6BFAB4F8"/>
    <w:lvl w:ilvl="0" w:tplc="160AF1D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6C2806"/>
    <w:multiLevelType w:val="hybridMultilevel"/>
    <w:tmpl w:val="68B43BF8"/>
    <w:lvl w:ilvl="0" w:tplc="2A2E8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CB30CD"/>
    <w:multiLevelType w:val="hybridMultilevel"/>
    <w:tmpl w:val="42B8086E"/>
    <w:lvl w:ilvl="0" w:tplc="A928E95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A03E97"/>
    <w:multiLevelType w:val="hybridMultilevel"/>
    <w:tmpl w:val="EE12AA52"/>
    <w:lvl w:ilvl="0" w:tplc="2A2E8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CD7E77"/>
    <w:multiLevelType w:val="hybridMultilevel"/>
    <w:tmpl w:val="F6327EF0"/>
    <w:lvl w:ilvl="0" w:tplc="2A2E8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080AFC"/>
    <w:multiLevelType w:val="hybridMultilevel"/>
    <w:tmpl w:val="255C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73625"/>
    <w:multiLevelType w:val="multilevel"/>
    <w:tmpl w:val="D874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96BB1"/>
    <w:multiLevelType w:val="hybridMultilevel"/>
    <w:tmpl w:val="599AB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4C3A14"/>
    <w:multiLevelType w:val="hybridMultilevel"/>
    <w:tmpl w:val="A7FE42B8"/>
    <w:lvl w:ilvl="0" w:tplc="DF8489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CF8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01E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AE8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63A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E46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06D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E80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AA0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5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10"/>
  </w:num>
  <w:num w:numId="16">
    <w:abstractNumId w:val="3"/>
  </w:num>
  <w:num w:numId="17">
    <w:abstractNumId w:val="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8A"/>
    <w:rsid w:val="00002AAB"/>
    <w:rsid w:val="00232EFB"/>
    <w:rsid w:val="002E0B8A"/>
    <w:rsid w:val="003C5AE8"/>
    <w:rsid w:val="00497B54"/>
    <w:rsid w:val="005B3216"/>
    <w:rsid w:val="006748B8"/>
    <w:rsid w:val="00684BB6"/>
    <w:rsid w:val="006B2ED2"/>
    <w:rsid w:val="008C37BD"/>
    <w:rsid w:val="00B005BC"/>
    <w:rsid w:val="00B33C20"/>
    <w:rsid w:val="00B60B08"/>
    <w:rsid w:val="00B75D68"/>
    <w:rsid w:val="00C26769"/>
    <w:rsid w:val="00CE655B"/>
    <w:rsid w:val="00DA1E91"/>
    <w:rsid w:val="00E62F18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5B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CE655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table" w:styleId="a5">
    <w:name w:val="Table Grid"/>
    <w:basedOn w:val="a1"/>
    <w:rsid w:val="00CE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0D27"/>
    <w:pPr>
      <w:ind w:left="720"/>
      <w:contextualSpacing/>
    </w:pPr>
  </w:style>
  <w:style w:type="character" w:styleId="a7">
    <w:name w:val="Emphasis"/>
    <w:basedOn w:val="a0"/>
    <w:uiPriority w:val="20"/>
    <w:qFormat/>
    <w:rsid w:val="008C37BD"/>
    <w:rPr>
      <w:i/>
      <w:iCs/>
    </w:rPr>
  </w:style>
  <w:style w:type="character" w:customStyle="1" w:styleId="apple-converted-space">
    <w:name w:val="apple-converted-space"/>
    <w:basedOn w:val="a0"/>
    <w:rsid w:val="00C26769"/>
  </w:style>
  <w:style w:type="character" w:styleId="a8">
    <w:name w:val="Hyperlink"/>
    <w:basedOn w:val="a0"/>
    <w:uiPriority w:val="99"/>
    <w:semiHidden/>
    <w:unhideWhenUsed/>
    <w:rsid w:val="00C26769"/>
    <w:rPr>
      <w:color w:val="0000FF"/>
      <w:u w:val="single"/>
    </w:rPr>
  </w:style>
  <w:style w:type="character" w:styleId="a9">
    <w:name w:val="Strong"/>
    <w:basedOn w:val="a0"/>
    <w:uiPriority w:val="22"/>
    <w:qFormat/>
    <w:rsid w:val="00B60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5B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CE655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table" w:styleId="a5">
    <w:name w:val="Table Grid"/>
    <w:basedOn w:val="a1"/>
    <w:rsid w:val="00CE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0D27"/>
    <w:pPr>
      <w:ind w:left="720"/>
      <w:contextualSpacing/>
    </w:pPr>
  </w:style>
  <w:style w:type="character" w:styleId="a7">
    <w:name w:val="Emphasis"/>
    <w:basedOn w:val="a0"/>
    <w:uiPriority w:val="20"/>
    <w:qFormat/>
    <w:rsid w:val="008C37BD"/>
    <w:rPr>
      <w:i/>
      <w:iCs/>
    </w:rPr>
  </w:style>
  <w:style w:type="character" w:customStyle="1" w:styleId="apple-converted-space">
    <w:name w:val="apple-converted-space"/>
    <w:basedOn w:val="a0"/>
    <w:rsid w:val="00C26769"/>
  </w:style>
  <w:style w:type="character" w:styleId="a8">
    <w:name w:val="Hyperlink"/>
    <w:basedOn w:val="a0"/>
    <w:uiPriority w:val="99"/>
    <w:semiHidden/>
    <w:unhideWhenUsed/>
    <w:rsid w:val="00C26769"/>
    <w:rPr>
      <w:color w:val="0000FF"/>
      <w:u w:val="single"/>
    </w:rPr>
  </w:style>
  <w:style w:type="character" w:styleId="a9">
    <w:name w:val="Strong"/>
    <w:basedOn w:val="a0"/>
    <w:uiPriority w:val="22"/>
    <w:qFormat/>
    <w:rsid w:val="00B60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-edu.com/model-kompetentsi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2016-12-13T03:40:00Z</dcterms:created>
  <dcterms:modified xsi:type="dcterms:W3CDTF">2016-12-19T05:35:00Z</dcterms:modified>
</cp:coreProperties>
</file>