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11.png" ContentType="image/png"/>
  <Override PartName="/word/media/image5.jpeg" ContentType="image/jpeg"/>
  <Override PartName="/word/media/image7.png" ContentType="image/png"/>
  <Override PartName="/word/media/image8.jpeg" ContentType="image/jpeg"/>
  <Override PartName="/word/media/image6.png" ContentType="image/png"/>
  <Override PartName="/word/media/image9.jpeg" ContentType="image/jpeg"/>
  <Override PartName="/word/media/image10.jpeg" ContentType="image/jpeg"/>
  <Override PartName="/word/media/image12.png" ContentType="image/png"/>
  <Override PartName="/word/media/image13.jpeg" ContentType="image/jpeg"/>
  <Override PartName="/word/media/image14.jpeg" ContentType="image/jpe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Style14"/>
        <w:spacing w:lineRule="auto" w:line="360"/>
        <w:jc w:val="center"/>
        <w:rPr>
          <w:lang w:val="ru-RU"/>
        </w:rPr>
      </w:pPr>
      <w:r>
        <w:rPr>
          <w:lang w:val="ru-RU"/>
        </w:rPr>
        <w:t>Автор статьи Дементьев Глеб Олегович, преподаватель МБУДО ДШИ №2 г. Сарова</w:t>
      </w:r>
    </w:p>
    <w:p>
      <w:pPr>
        <w:pStyle w:val="Style14"/>
        <w:spacing w:lineRule="auto" w:line="36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«Выбор ансамблевого репертуара в классе гитары ДШИ и ДМШ»</w:t>
      </w:r>
    </w:p>
    <w:p>
      <w:pPr>
        <w:pStyle w:val="Style14"/>
        <w:spacing w:lineRule="auto" w:line="36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Любой вид творчества имеет свою специфику, особенности и технику. Ансамблевая игра – не исключение. Одной из ее особенностей является умение играть с одним или несколькими партнерами. Для формирования мастерства исполнителя это умение чрезвычайно важно. Гитаристы, как правило, занимаются сольным исполнительством, в связи с чем детали и общий план произведения музыкант обдумывает один. В ансамбле – это совместный, коллективный труд, где произведение реализуется совместными усилиями участников ансамбля.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Нужно грамотно продумать исполняемый репертуар на период обучения, техническая сложность и музыкальные задачи которого будут возрастать по мере роста исполнительского уровня участников ансамбля.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Выбирая произведение для долговременной работы, надо учитывать, что детям, как правило, не свойственно трагическое мировосприятие и им больше нравятся пьесы живого подвижного характера, которые быстрее находят отклик у большего количества слушателей.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На начальном этапе занятия ансамблем проходят на уроках коллективного музицирования и состоят только из совместной игры учителя и ученика. 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-72390</wp:posOffset>
            </wp:positionH>
            <wp:positionV relativeFrom="paragraph">
              <wp:posOffset>60960</wp:posOffset>
            </wp:positionV>
            <wp:extent cx="1664970" cy="2281555"/>
            <wp:effectExtent l="0" t="0" r="0" b="0"/>
            <wp:wrapSquare wrapText="bothSides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970" cy="2281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Для самых начинающих гитаристов отлично подходят произведения Зинаиды Смирновой из первой части «Азбуки гитариста», так как в ней содержатся максимально простые дуэты по открытым струнам с использованием основных длительностей, которые нужно исполнять учеником или унисоном учеников под аккомпанемент учителя.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Style14"/>
        <w:spacing w:lineRule="auto" w:line="360"/>
        <w:ind w:firstLine="709"/>
        <w:jc w:val="both"/>
        <w:rPr/>
      </w:pPr>
      <w:r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-43180</wp:posOffset>
            </wp:positionH>
            <wp:positionV relativeFrom="paragraph">
              <wp:posOffset>6985</wp:posOffset>
            </wp:positionV>
            <wp:extent cx="1601470" cy="2265045"/>
            <wp:effectExtent l="0" t="0" r="0" b="0"/>
            <wp:wrapSquare wrapText="largest"/>
            <wp:docPr id="2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2265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Когда пьесы из сборника Зинаиды Смирновой    будут уверенно получаться, можно переходить к работе  Александра Виницкого «Учитель-ученик», в которой весь материал основан на игре дуэтом и построен по принципу «от простого к сложному». Основы звукоизвлечения, посадка, приёмы игры, даются учителем по мере работы над дуэтами и осваиваются учеником в процессе игры простых мелодий.</w:t>
      </w:r>
      <w:r>
        <w:rPr>
          <w:color w:val="C9211E"/>
          <w:sz w:val="28"/>
          <w:szCs w:val="28"/>
          <w:u w:val="none" w:color="C9211E"/>
        </w:rPr>
        <w:t xml:space="preserve"> </w:t>
      </w:r>
      <w:r>
        <w:rPr>
          <w:sz w:val="28"/>
          <w:szCs w:val="28"/>
        </w:rPr>
        <w:t xml:space="preserve">Основная сложность исполнения этих дуэтов состоит в том, что автор применяет различные неклассические стили в аккомпанементе педагога, такие как кантри, свинг, страйд, шафл и так далее, подразумевающие под собой использование синкоп, джазовых восьмых, что в свою очередь может сбивать с толку учеников. В таких случаях педагогу будет не лишним первое время играть аккомпанемент ровными длительностями, не свингуя, чтобы не усложнять для ученика и без того не простой период начального обучения. 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Также, хорошие аранжировки ансамбля с педагогом можно встретить в «Азбуке гитариста для шестиструнной гитары» М. Александровой. 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posOffset>864870</wp:posOffset>
            </wp:positionH>
            <wp:positionV relativeFrom="paragraph">
              <wp:posOffset>-5080</wp:posOffset>
            </wp:positionV>
            <wp:extent cx="1359535" cy="1856740"/>
            <wp:effectExtent l="0" t="0" r="0" b="0"/>
            <wp:wrapSquare wrapText="largest"/>
            <wp:docPr id="3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535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3089275</wp:posOffset>
            </wp:positionH>
            <wp:positionV relativeFrom="paragraph">
              <wp:posOffset>-6350</wp:posOffset>
            </wp:positionV>
            <wp:extent cx="2009140" cy="1716405"/>
            <wp:effectExtent l="0" t="0" r="0" b="0"/>
            <wp:wrapSquare wrapText="largest"/>
            <wp:docPr id="4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140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Далее можно начинать составлять ансамбли, целиком состоящие из учащихся. На этом этапе очень интересными и подходящими, на мой взгляд, будут дуэты Виктора Козлова из сборника «Эхо бразильского карнавала», а именно: «Бумажный кораблик и ручеёк» и «Старая шарманка», которые являются полноценными концертными произведениями, хотя каждый участник ансамбля исполняет партию, состоящую из одного голоса. 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posOffset>200660</wp:posOffset>
            </wp:positionH>
            <wp:positionV relativeFrom="paragraph">
              <wp:posOffset>-78740</wp:posOffset>
            </wp:positionV>
            <wp:extent cx="1509395" cy="1881505"/>
            <wp:effectExtent l="0" t="0" r="0" b="0"/>
            <wp:wrapSquare wrapText="largest"/>
            <wp:docPr id="5" name="Изображение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395" cy="1881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9">
            <wp:simplePos x="0" y="0"/>
            <wp:positionH relativeFrom="column">
              <wp:posOffset>2338070</wp:posOffset>
            </wp:positionH>
            <wp:positionV relativeFrom="paragraph">
              <wp:posOffset>-139065</wp:posOffset>
            </wp:positionV>
            <wp:extent cx="1410970" cy="1939290"/>
            <wp:effectExtent l="0" t="0" r="0" b="0"/>
            <wp:wrapTopAndBottom/>
            <wp:docPr id="6" name="Изображение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8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970" cy="1939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10">
            <wp:simplePos x="0" y="0"/>
            <wp:positionH relativeFrom="column">
              <wp:posOffset>4255770</wp:posOffset>
            </wp:positionH>
            <wp:positionV relativeFrom="paragraph">
              <wp:posOffset>-130175</wp:posOffset>
            </wp:positionV>
            <wp:extent cx="1429385" cy="1965325"/>
            <wp:effectExtent l="0" t="0" r="0" b="0"/>
            <wp:wrapSquare wrapText="largest"/>
            <wp:docPr id="7" name="Изображение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9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5" cy="196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Для ансамбля учащихся средних классов довольно много дуэтов, написанных российскими композиторами: Е. Поплянова «Путешествие на остров гитара», В. Ерзунов «Дуэты для шестиструнных гитар», А. Виницкий Обработки колядок для двух гитар, «Детский джазовый альбом» №1 и №2. Отличный сборник Д. Теслова «Ансамбли классических гитар. Избранные лёгкие пьесы».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drawing>
          <wp:anchor behindDoc="0" distT="0" distB="0" distL="0" distR="0" simplePos="0" locked="0" layoutInCell="0" allowOverlap="1" relativeHeight="11">
            <wp:simplePos x="0" y="0"/>
            <wp:positionH relativeFrom="column">
              <wp:posOffset>153670</wp:posOffset>
            </wp:positionH>
            <wp:positionV relativeFrom="paragraph">
              <wp:posOffset>31115</wp:posOffset>
            </wp:positionV>
            <wp:extent cx="1525905" cy="2159635"/>
            <wp:effectExtent l="0" t="0" r="0" b="0"/>
            <wp:wrapTopAndBottom/>
            <wp:docPr id="8" name="Изображение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10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90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12">
            <wp:simplePos x="0" y="0"/>
            <wp:positionH relativeFrom="column">
              <wp:posOffset>2077720</wp:posOffset>
            </wp:positionH>
            <wp:positionV relativeFrom="paragraph">
              <wp:posOffset>-49530</wp:posOffset>
            </wp:positionV>
            <wp:extent cx="1626235" cy="2140585"/>
            <wp:effectExtent l="0" t="0" r="0" b="0"/>
            <wp:wrapSquare wrapText="largest"/>
            <wp:docPr id="9" name="Изображение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12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235" cy="2140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13">
            <wp:simplePos x="0" y="0"/>
            <wp:positionH relativeFrom="column">
              <wp:posOffset>4052570</wp:posOffset>
            </wp:positionH>
            <wp:positionV relativeFrom="paragraph">
              <wp:posOffset>-31750</wp:posOffset>
            </wp:positionV>
            <wp:extent cx="1556385" cy="2165350"/>
            <wp:effectExtent l="0" t="0" r="0" b="0"/>
            <wp:wrapSquare wrapText="largest"/>
            <wp:docPr id="10" name="Изображение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11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216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Также стоит отметить и зарубежных композиторов: 24 дуэта Ф. Карулли,  Менуэт из трио До мажор оп. 25 Л. Колла, Сюита «Шесть танцев» Т. Сузато предназначенную для исполнения квартетом.</w:t>
      </w:r>
    </w:p>
    <w:p>
      <w:pPr>
        <w:pStyle w:val="Style14"/>
        <w:spacing w:lineRule="auto" w:line="360"/>
        <w:ind w:firstLine="709"/>
        <w:jc w:val="both"/>
        <w:rPr>
          <w:sz w:val="28"/>
          <w:szCs w:val="28"/>
        </w:rPr>
      </w:pPr>
      <w:r>
        <w:drawing>
          <wp:anchor behindDoc="0" distT="0" distB="0" distL="0" distR="0" simplePos="0" locked="0" layoutInCell="0" allowOverlap="1" relativeHeight="14">
            <wp:simplePos x="0" y="0"/>
            <wp:positionH relativeFrom="column">
              <wp:posOffset>781685</wp:posOffset>
            </wp:positionH>
            <wp:positionV relativeFrom="paragraph">
              <wp:posOffset>12065</wp:posOffset>
            </wp:positionV>
            <wp:extent cx="1696720" cy="2041525"/>
            <wp:effectExtent l="0" t="0" r="0" b="0"/>
            <wp:wrapTopAndBottom/>
            <wp:docPr id="11" name="Изображение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13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720" cy="2041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15">
            <wp:simplePos x="0" y="0"/>
            <wp:positionH relativeFrom="column">
              <wp:posOffset>3169920</wp:posOffset>
            </wp:positionH>
            <wp:positionV relativeFrom="paragraph">
              <wp:posOffset>-57150</wp:posOffset>
            </wp:positionV>
            <wp:extent cx="1643380" cy="2245360"/>
            <wp:effectExtent l="0" t="0" r="0" b="0"/>
            <wp:wrapTopAndBottom/>
            <wp:docPr id="12" name="Изображение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14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380" cy="2245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Репертуар для старших классов довольно обширен, это могут быть и  переложения 2-3-голосных инвенций И.С. Баха, несложные сонаты Д. Скарлатти, «Кембриджская» сюита Н. Кошкина так и обработки из «Музыки русской души» С. Руднева. Репертуар довольно обширен и имеется возможность подобрать произведения под любые потребности. </w:t>
      </w:r>
    </w:p>
    <w:p>
      <w:pPr>
        <w:pStyle w:val="Style14"/>
        <w:spacing w:lineRule="auto" w:line="360"/>
        <w:ind w:hanging="0"/>
        <w:jc w:val="both"/>
        <w:rPr>
          <w:sz w:val="28"/>
          <w:szCs w:val="28"/>
        </w:rPr>
      </w:pPr>
      <w:r>
        <w:rPr>
          <w:sz w:val="28"/>
          <w:szCs w:val="28"/>
        </w:rPr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posOffset>883285</wp:posOffset>
            </wp:positionH>
            <wp:positionV relativeFrom="paragraph">
              <wp:posOffset>15875</wp:posOffset>
            </wp:positionV>
            <wp:extent cx="1456055" cy="2343150"/>
            <wp:effectExtent l="0" t="0" r="0" b="0"/>
            <wp:wrapTopAndBottom/>
            <wp:docPr id="13" name="Изображение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6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05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8">
            <wp:simplePos x="0" y="0"/>
            <wp:positionH relativeFrom="column">
              <wp:posOffset>3457575</wp:posOffset>
            </wp:positionH>
            <wp:positionV relativeFrom="paragraph">
              <wp:posOffset>635</wp:posOffset>
            </wp:positionV>
            <wp:extent cx="1666875" cy="2346325"/>
            <wp:effectExtent l="0" t="0" r="0" b="0"/>
            <wp:wrapTopAndBottom/>
            <wp:docPr id="14" name="Изображение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7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"/>
        <w:spacing w:lineRule="auto" w:line="360"/>
        <w:jc w:val="center"/>
        <w:rPr>
          <w:rFonts w:ascii="Times New Roman" w:hAnsi="Times New Roman" w:eastAsia="Times New Roman" w:cs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Библиография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Александрова М. Азбука гитариста для шестиструнной гитары - М., 2010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Виницкий А.И. Детский джазовый альбом. – М.: Престо, 2001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Гитман А.Ф. Донотный период начального обучения гитариста. – М.: 2003.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Ерзунов В. Дуэты для шестиструнных гитар. – Л., 1976.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Козлов В. Эхо бразильского карнавала (ансамбль для 2-х гитар) -            Челябинск, 2005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Кошкин Н. Кембриджская сюита. – М.: 1995.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Кузин Ю.П. Азбука гитариста. – Новосибирск, 1999.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Поплянова Е. Путешествие на остров гитара. – СПб, 2004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Руднев С. Музыка русской души (обработки для 2-х гитар). – М.: 2004.</w:t>
      </w:r>
    </w:p>
    <w:p>
      <w:pPr>
        <w:pStyle w:val="Style14"/>
        <w:numPr>
          <w:ilvl w:val="0"/>
          <w:numId w:val="1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Теслов Д. Ансамбли классических гитар. Избранные лёгкие пьесы. –     Тамбов, 2017.</w:t>
      </w:r>
    </w:p>
    <w:p>
      <w:pPr>
        <w:pStyle w:val="Style14"/>
        <w:spacing w:lineRule="auto" w:line="36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Электронные ресурсы</w:t>
      </w:r>
    </w:p>
    <w:p>
      <w:pPr>
        <w:pStyle w:val="Style14"/>
        <w:numPr>
          <w:ilvl w:val="0"/>
          <w:numId w:val="2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Виницкий А.И. Обработки колядок для двух гитар (электронный ресурс) – http: библиотека-гитариста.рф.</w:t>
      </w:r>
    </w:p>
    <w:p>
      <w:pPr>
        <w:pStyle w:val="Style14"/>
        <w:numPr>
          <w:ilvl w:val="0"/>
          <w:numId w:val="2"/>
        </w:numPr>
        <w:spacing w:lineRule="auto" w:line="360"/>
        <w:rPr/>
      </w:pPr>
      <w:r>
        <w:rPr>
          <w:sz w:val="28"/>
          <w:szCs w:val="28"/>
        </w:rPr>
        <w:t xml:space="preserve">Виницкий А.И. УЧИТЕЛЬ И УЧЕНИК. 95 ДУЭТОВ+CD (электронный ресурс) – http: </w:t>
      </w:r>
      <w:hyperlink r:id="rId16">
        <w:r>
          <w:rPr>
            <w:rStyle w:val="Style12"/>
            <w:sz w:val="28"/>
            <w:szCs w:val="28"/>
            <w:lang w:val="en-US"/>
          </w:rPr>
          <w:t>www.avinitsky.com</w:t>
        </w:r>
      </w:hyperlink>
      <w:r>
        <w:rPr>
          <w:sz w:val="28"/>
          <w:szCs w:val="28"/>
        </w:rPr>
        <w:t xml:space="preserve"> </w:t>
      </w:r>
    </w:p>
    <w:p>
      <w:pPr>
        <w:pStyle w:val="Style14"/>
        <w:numPr>
          <w:ilvl w:val="0"/>
          <w:numId w:val="2"/>
        </w:numPr>
        <w:spacing w:lineRule="auto" w:line="360"/>
        <w:rPr>
          <w:sz w:val="28"/>
          <w:szCs w:val="28"/>
        </w:rPr>
      </w:pPr>
      <w:r>
        <w:rPr>
          <w:sz w:val="28"/>
          <w:szCs w:val="28"/>
        </w:rPr>
        <w:t>Воробьёв, О. Основные принципы работы с гитарным ансамблем в ДМШ (электронный ресурс) – http: www.дмш8-нск.рф›</w:t>
      </w:r>
    </w:p>
    <w:p>
      <w:pPr>
        <w:pStyle w:val="Style14"/>
        <w:numPr>
          <w:ilvl w:val="0"/>
          <w:numId w:val="2"/>
        </w:numPr>
        <w:spacing w:lineRule="auto" w:line="360" w:before="0" w:after="140"/>
        <w:rPr>
          <w:sz w:val="28"/>
          <w:szCs w:val="28"/>
        </w:rPr>
      </w:pPr>
      <w:r>
        <w:rPr>
          <w:sz w:val="28"/>
          <w:szCs w:val="28"/>
        </w:rPr>
        <w:t xml:space="preserve">Смирнова З. «Азбука маленького гитариста» (электронный ресурс) – http: zinaidasmirnova.musicaneo.com    </w:t>
      </w:r>
    </w:p>
    <w:sectPr>
      <w:headerReference w:type="default" r:id="rId17"/>
      <w:footerReference w:type="default" r:id="rId18"/>
      <w:type w:val="nextPage"/>
      <w:pgSz w:w="11906" w:h="16838"/>
      <w:pgMar w:left="1701" w:right="991" w:gutter="0" w:header="0" w:top="1134" w:footer="567" w:bottom="1276"/>
      <w:pgNumType w:fmt="decimal"/>
      <w:formProt w:val="false"/>
      <w:titlePg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roman"/>
    <w:pitch w:val="variable"/>
  </w:font>
  <w:font w:name="Arial">
    <w:charset w:val="cc"/>
    <w:family w:val="roman"/>
    <w:pitch w:val="variable"/>
  </w:font>
  <w:font w:name="Liberation Sans">
    <w:altName w:val="Arial"/>
    <w:charset w:val="cc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18"/>
      <w:spacing w:lineRule="auto" w:line="360"/>
      <w:rPr/>
    </w:pPr>
    <w:r>
      <w:rPr/>
      <w:fldChar w:fldCharType="begin"/>
    </w:r>
    <w:r>
      <w:rPr/>
      <w:instrText xml:space="preserve"> PAGE </w:instrText>
    </w:r>
    <w:r>
      <w:rPr/>
      <w:fldChar w:fldCharType="separate"/>
    </w:r>
    <w:r>
      <w:rPr/>
      <w:t>5</w:t>
    </w:r>
    <w:r>
      <w:rPr/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18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00"/>
  <w:defaultTabStop w:val="720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Arial Unicode MS" w:cs="Times New Roman"/>
        <w:lang w:val="ru-RU" w:eastAsia="zh-CN" w:bidi="hi-IN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false"/>
      <w:bidi w:val="0"/>
      <w:spacing w:before="0" w:after="0"/>
      <w:jc w:val="left"/>
    </w:pPr>
    <w:rPr>
      <w:rFonts w:ascii="Times New Roman" w:hAnsi="Times New Roman" w:eastAsia="Arial Unicode MS" w:cs="Times New Roman"/>
      <w:color w:val="auto"/>
      <w:kern w:val="0"/>
      <w:sz w:val="24"/>
      <w:szCs w:val="24"/>
      <w:u w:val="none" w:color="FFFFFF"/>
      <w:lang w:val="en-US" w:eastAsia="en-US" w:bidi="ar-SA"/>
    </w:rPr>
  </w:style>
  <w:style w:type="paragraph" w:styleId="1">
    <w:name w:val="Heading 1"/>
    <w:next w:val="Style14"/>
    <w:qFormat/>
    <w:pPr>
      <w:keepNext w:val="true"/>
      <w:widowControl/>
      <w:suppressAutoHyphens w:val="true"/>
      <w:bidi w:val="0"/>
      <w:spacing w:before="240" w:after="120"/>
      <w:jc w:val="left"/>
      <w:outlineLvl w:val="0"/>
    </w:pPr>
    <w:rPr>
      <w:rFonts w:ascii="Arial" w:hAnsi="Arial" w:eastAsia="Arial Unicode MS" w:cs="Arial Unicode MS"/>
      <w:b/>
      <w:bCs/>
      <w:color w:val="000000"/>
      <w:kern w:val="2"/>
      <w:sz w:val="36"/>
      <w:szCs w:val="36"/>
      <w:u w:val="none" w:color="000000"/>
      <w:lang w:val="ru-RU" w:eastAsia="zh-CN" w:bidi="hi-IN"/>
    </w:rPr>
  </w:style>
  <w:style w:type="paragraph" w:styleId="2">
    <w:name w:val="Heading 2"/>
    <w:basedOn w:val="Normal"/>
    <w:next w:val="Normal"/>
    <w:uiPriority w:val="9"/>
    <w:semiHidden/>
    <w:unhideWhenUsed/>
    <w:qFormat/>
    <w:rsid w:val="00af0fcf"/>
    <w:pPr>
      <w:keepNext w:val="true"/>
      <w:keepLines/>
      <w:spacing w:before="40" w:after="0"/>
      <w:outlineLvl w:val="1"/>
    </w:pPr>
    <w:rPr>
      <w:rFonts w:ascii="Times New Roman" w:hAnsi="Times New Roman" w:eastAsia="Times New Roman" w:cs="Times New Roman" w:asciiTheme="majorHAnsi" w:cstheme="majorBidi" w:eastAsiaTheme="majorEastAsia" w:hAnsiTheme="majorHAnsi"/>
      <w:color w:val="365F91" w:themeColor="accent1" w:themeShade="bf"/>
      <w:sz w:val="26"/>
      <w:szCs w:val="26"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Style12">
    <w:name w:val="Hyperlink"/>
    <w:basedOn w:val="DefaultParagraphFont"/>
    <w:uiPriority w:val="99"/>
    <w:unhideWhenUsed/>
    <w:rsid w:val="00af0fcf"/>
    <w:rPr>
      <w:color w:val="0000FF" w:themeColor="hyperlink"/>
      <w:u w:val="single"/>
    </w:rPr>
  </w:style>
  <w:style w:type="character" w:styleId="21" w:customStyle="1">
    <w:name w:val="Заголовок 2 Знак"/>
    <w:basedOn w:val="DefaultParagraphFont"/>
    <w:uiPriority w:val="9"/>
    <w:semiHidden/>
    <w:qFormat/>
    <w:rsid w:val="00af0fcf"/>
    <w:rPr>
      <w:rFonts w:ascii="Times New Roman" w:hAnsi="Times New Roman" w:eastAsia="Times New Roman" w:cs="Times New Roman" w:asciiTheme="majorHAnsi" w:cstheme="majorBidi" w:eastAsiaTheme="majorEastAsia" w:hAnsiTheme="majorHAnsi"/>
      <w:color w:val="365F91" w:themeColor="accent1" w:themeShade="bf"/>
      <w:sz w:val="26"/>
      <w:szCs w:val="26"/>
      <w:u w:val="none" w:color="FFFFFF"/>
      <w:lang w:val="en-US" w:eastAsia="en-US" w:bidi="ar-SA"/>
    </w:rPr>
  </w:style>
  <w:style w:type="paragraph" w:styleId="Style13" w:customStyle="1">
    <w:name w:val="Заголовок"/>
    <w:basedOn w:val="Normal"/>
    <w:next w:val="Style14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tyle14">
    <w:name w:val="Body Text"/>
    <w:pPr>
      <w:widowControl/>
      <w:suppressAutoHyphens w:val="true"/>
      <w:bidi w:val="0"/>
      <w:spacing w:before="0" w:after="140"/>
      <w:jc w:val="left"/>
    </w:pPr>
    <w:rPr>
      <w:rFonts w:ascii="Times New Roman" w:hAnsi="Times New Roman" w:eastAsia="Times New Roman" w:cs="Times New Roman"/>
      <w:color w:val="000000"/>
      <w:kern w:val="2"/>
      <w:sz w:val="24"/>
      <w:szCs w:val="24"/>
      <w:u w:val="none" w:color="000000"/>
      <w:lang w:val="ru-RU" w:eastAsia="zh-CN" w:bidi="hi-IN"/>
      <w14:textOutline w14:w="0" w14:cap="flat" w14:cmpd="sng" w14:algn="ctr">
        <w14:noFill/>
        <w14:prstDash w14:val="solid"/>
        <w14:bevel/>
      </w14:textOutline>
    </w:rPr>
  </w:style>
  <w:style w:type="paragraph" w:styleId="Style15">
    <w:name w:val="List"/>
    <w:basedOn w:val="Style14"/>
    <w:pPr/>
    <w:rPr>
      <w:rFonts w:cs="Arial"/>
    </w:rPr>
  </w:style>
  <w:style w:type="paragraph" w:styleId="Style16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7">
    <w:name w:val="Указатель"/>
    <w:basedOn w:val="Normal"/>
    <w:qFormat/>
    <w:pPr>
      <w:suppressLineNumbers/>
    </w:pPr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</w:rPr>
  </w:style>
  <w:style w:type="paragraph" w:styleId="Indexheading">
    <w:name w:val="index heading"/>
    <w:basedOn w:val="Normal"/>
    <w:qFormat/>
    <w:pPr>
      <w:suppressLineNumbers/>
    </w:pPr>
    <w:rPr>
      <w:rFonts w:cs="Arial"/>
    </w:rPr>
  </w:style>
  <w:style w:type="paragraph" w:styleId="Style18" w:customStyle="1">
    <w:name w:val="Верхн./нижн. кол."/>
    <w:qFormat/>
    <w:pPr>
      <w:widowControl/>
      <w:tabs>
        <w:tab w:val="clear" w:pos="720"/>
        <w:tab w:val="right" w:pos="9020" w:leader="none"/>
      </w:tabs>
      <w:suppressAutoHyphens w:val="true"/>
      <w:bidi w:val="0"/>
      <w:spacing w:before="0" w:after="0"/>
      <w:jc w:val="left"/>
    </w:pPr>
    <w:rPr>
      <w:rFonts w:ascii="Times New Roman" w:hAnsi="Times New Roman" w:eastAsia="Arial Unicode MS" w:cs="Arial Unicode MS"/>
      <w:color w:val="000000"/>
      <w:kern w:val="0"/>
      <w:sz w:val="24"/>
      <w:szCs w:val="24"/>
      <w:u w:val="none" w:color="FFFFFF"/>
      <w:lang w:val="ru-RU" w:eastAsia="zh-CN" w:bidi="hi-IN"/>
      <w14:textOutline w14:w="0" w14:cap="flat" w14:cmpd="sng" w14:algn="ctr">
        <w14:noFill/>
        <w14:prstDash w14:val="solid"/>
        <w14:bevel/>
      </w14:textOutline>
    </w:rPr>
  </w:style>
  <w:style w:type="paragraph" w:styleId="Style19">
    <w:name w:val="Title"/>
    <w:next w:val="Style14"/>
    <w:qFormat/>
    <w:pPr>
      <w:keepNext w:val="true"/>
      <w:widowControl/>
      <w:suppressAutoHyphens w:val="true"/>
      <w:bidi w:val="0"/>
      <w:spacing w:before="240" w:after="120"/>
      <w:jc w:val="center"/>
    </w:pPr>
    <w:rPr>
      <w:rFonts w:ascii="Arial" w:hAnsi="Arial" w:eastAsia="Arial Unicode MS" w:cs="Arial Unicode MS"/>
      <w:b/>
      <w:bCs/>
      <w:color w:val="000000"/>
      <w:kern w:val="2"/>
      <w:sz w:val="56"/>
      <w:szCs w:val="56"/>
      <w:u w:val="none" w:color="000000"/>
      <w:lang w:val="ru-RU" w:eastAsia="zh-CN" w:bidi="hi-IN"/>
    </w:rPr>
  </w:style>
  <w:style w:type="paragraph" w:styleId="Style20" w:customStyle="1">
    <w:name w:val="Верхний и нижний колонтитулы"/>
    <w:basedOn w:val="Normal"/>
    <w:qFormat/>
    <w:pPr/>
    <w:rPr/>
  </w:style>
  <w:style w:type="paragraph" w:styleId="Style21">
    <w:name w:val="Колонтитул"/>
    <w:basedOn w:val="Normal"/>
    <w:qFormat/>
    <w:pPr/>
    <w:rPr/>
  </w:style>
  <w:style w:type="paragraph" w:styleId="Style22">
    <w:name w:val="Header"/>
    <w:basedOn w:val="Style20"/>
    <w:pPr/>
    <w:rPr/>
  </w:style>
  <w:style w:type="paragraph" w:styleId="Style23">
    <w:name w:val="Footer"/>
    <w:basedOn w:val="Style20"/>
    <w:pPr/>
    <w:rPr/>
  </w:style>
  <w:style w:type="numbering" w:styleId="NoList" w:default="1">
    <w:name w:val="No List"/>
    <w:uiPriority w:val="99"/>
    <w:semiHidden/>
    <w:unhideWhenUsed/>
    <w:qFormat/>
  </w:style>
  <w:style w:type="numbering" w:styleId="3" w:customStyle="1">
    <w:name w:val="Импортированный стиль 3"/>
    <w:qFormat/>
  </w:style>
  <w:style w:type="table" w:default="1" w:styleId="a2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e">
    <w:name w:val="Table Grid"/>
    <w:basedOn w:val="a2"/>
    <w:uiPriority w:val="39"/>
    <w:rsid w:val="009a6f2e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hyperlink" Target="http://www.awinitsky.com/" TargetMode="External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numbering" Target="numbering.xml"/><Relationship Id="rId20" Type="http://schemas.openxmlformats.org/officeDocument/2006/relationships/fontTable" Target="fontTable.xml"/><Relationship Id="rId21" Type="http://schemas.openxmlformats.org/officeDocument/2006/relationships/settings" Target="settings.xml"/><Relationship Id="rId22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Times New Roman"/>
        <a:ea typeface="Times New Roman"/>
        <a:cs typeface="Times New Roman"/>
      </a:majorFont>
      <a:minorFont>
        <a:latin typeface="Times New Roman"/>
        <a:ea typeface="Times New Roma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Application>LibreOffice/7.4.5.1$Windows_X86_64 LibreOffice_project/9c0871452b3918c1019dde9bfac75448afc4b57f</Application>
  <AppVersion>15.0000</AppVersion>
  <Pages>5</Pages>
  <Words>654</Words>
  <Characters>4230</Characters>
  <CharactersWithSpaces>4888</CharactersWithSpaces>
  <Paragraphs>30</Paragraphs>
  <Company>SPecialiST RePack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2021-12-06T15:01:00Z</dcterms:created>
  <dc:creator>Пользователь Windows</dc:creator>
  <dc:description/>
  <dc:language>ru-RU</dc:language>
  <cp:lastModifiedBy/>
  <dcterms:modified xsi:type="dcterms:W3CDTF">2026-01-30T01:15:33Z</dcterms:modified>
  <cp:revision>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