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B3B2C" w14:textId="4E52D3BB" w:rsidR="003D5D21" w:rsidRDefault="003D5D21" w:rsidP="003D5D2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CB06497" w14:textId="389D5178" w:rsidR="001631A2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631A2">
        <w:rPr>
          <w:rFonts w:ascii="Times New Roman" w:hAnsi="Times New Roman" w:cs="Times New Roman"/>
          <w:sz w:val="28"/>
          <w:szCs w:val="28"/>
        </w:rPr>
        <w:t>униципальное автономное образовательное учреждение дополнительного образования детей Центр дополнительного образования для детей</w:t>
      </w:r>
    </w:p>
    <w:p w14:paraId="260FCB8D" w14:textId="0C7CDDDA" w:rsidR="001631A2" w:rsidRDefault="001631A2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«Межшкольный эстетический центр»</w:t>
      </w:r>
    </w:p>
    <w:p w14:paraId="2D57B0E4" w14:textId="774809F1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Краснодара </w:t>
      </w:r>
    </w:p>
    <w:p w14:paraId="21B24AB4" w14:textId="12C33323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58D8CF8" w14:textId="0F7F24CD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B37BAE" w14:textId="714BD978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5E2B633" w14:textId="021B7E37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3C5B13C" w14:textId="77777777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0E441C" w14:textId="22E5B884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1E47632" w14:textId="77777777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DDDC93" w14:textId="5A2EADB1" w:rsid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2DC8BA5" w14:textId="77777777" w:rsidR="003D5D21" w:rsidRP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D21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14:paraId="4BCA3924" w14:textId="5C08CBEF" w:rsidR="003D5D21" w:rsidRPr="003D5D21" w:rsidRDefault="003D5D21" w:rsidP="003D5D2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D21">
        <w:rPr>
          <w:rFonts w:ascii="Times New Roman" w:hAnsi="Times New Roman" w:cs="Times New Roman"/>
          <w:b/>
          <w:sz w:val="28"/>
          <w:szCs w:val="28"/>
        </w:rPr>
        <w:t>«Психолого-педагогические особенности подготовки обучающегося к концертным выступлениям»</w:t>
      </w:r>
    </w:p>
    <w:p w14:paraId="0682EEF5" w14:textId="77777777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EED4A2" w14:textId="77777777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A6D5CAF" w14:textId="77777777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BB8240" w14:textId="77777777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836D76" w14:textId="77777777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E4AFCB" w14:textId="3D4BBFEC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E0E8F43" w14:textId="77777777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B7DA210" w14:textId="77777777" w:rsidR="003D5D21" w:rsidRDefault="003D5D21" w:rsidP="003D5D21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EFDA5D" w14:textId="42394E4C" w:rsidR="003D5D21" w:rsidRPr="003D5D21" w:rsidRDefault="003D5D21" w:rsidP="003D5D21">
      <w:pPr>
        <w:spacing w:after="0"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5D21">
        <w:rPr>
          <w:rFonts w:ascii="Times New Roman" w:hAnsi="Times New Roman" w:cs="Times New Roman"/>
          <w:sz w:val="28"/>
          <w:szCs w:val="28"/>
        </w:rPr>
        <w:t xml:space="preserve">Составила концертмейстер </w:t>
      </w:r>
    </w:p>
    <w:p w14:paraId="59821A07" w14:textId="6FD8DEFF" w:rsidR="008C629D" w:rsidRPr="003D5D21" w:rsidRDefault="008C629D" w:rsidP="003D5D21">
      <w:pPr>
        <w:spacing w:after="0"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5D21">
        <w:rPr>
          <w:rFonts w:ascii="Times New Roman" w:hAnsi="Times New Roman" w:cs="Times New Roman"/>
          <w:sz w:val="28"/>
          <w:szCs w:val="28"/>
        </w:rPr>
        <w:t>Ю.В.</w:t>
      </w:r>
      <w:r w:rsidR="00E67999" w:rsidRPr="003D5D21">
        <w:rPr>
          <w:rFonts w:ascii="Times New Roman" w:hAnsi="Times New Roman" w:cs="Times New Roman"/>
          <w:sz w:val="28"/>
          <w:szCs w:val="28"/>
        </w:rPr>
        <w:t xml:space="preserve"> </w:t>
      </w:r>
      <w:r w:rsidRPr="003D5D21">
        <w:rPr>
          <w:rFonts w:ascii="Times New Roman" w:hAnsi="Times New Roman" w:cs="Times New Roman"/>
          <w:sz w:val="28"/>
          <w:szCs w:val="28"/>
        </w:rPr>
        <w:t>Иваненко</w:t>
      </w:r>
    </w:p>
    <w:p w14:paraId="6F2D55C2" w14:textId="6C6312AD" w:rsidR="008C629D" w:rsidRDefault="008C629D" w:rsidP="0040576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D05CD4" w14:textId="11ED498B" w:rsidR="003D5D21" w:rsidRDefault="003D5D21" w:rsidP="0040576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981B6B" w14:textId="3FD974AB" w:rsidR="003D5D21" w:rsidRDefault="003D5D21" w:rsidP="0040576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766E49" w14:textId="279C7024" w:rsidR="00773BF8" w:rsidRPr="00773BF8" w:rsidRDefault="00773BF8" w:rsidP="0040576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lastRenderedPageBreak/>
        <w:t xml:space="preserve">Проблема эстрадного самочувствия музыканта-исполнителя занимает важное место в профессиональной деятельности представителей всех исполнительских специальностей. Она является одной из центральных в музыкальной педагогике, психологии и исполнительстве. </w:t>
      </w:r>
    </w:p>
    <w:p w14:paraId="1671DCAF" w14:textId="77777777" w:rsidR="00C32AA3" w:rsidRDefault="00773BF8" w:rsidP="00D6585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Важность исполнительской деятельности следует объяснять ученику уже на начальном этапе обучения. Педагогу необходимо приучать его к ответственности за качество исполнения на эстраде и вместе с тем прививать любовь к публичным выступлениям</w:t>
      </w:r>
      <w:r w:rsidR="00C32AA3">
        <w:rPr>
          <w:rFonts w:ascii="Times New Roman" w:hAnsi="Times New Roman" w:cs="Times New Roman"/>
          <w:sz w:val="28"/>
          <w:szCs w:val="28"/>
        </w:rPr>
        <w:t>.</w:t>
      </w:r>
    </w:p>
    <w:p w14:paraId="292BEA49" w14:textId="77777777" w:rsidR="00773BF8" w:rsidRPr="00773BF8" w:rsidRDefault="00773BF8" w:rsidP="00D6585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Проблемам сценического волнения посвящены работы многих выдающихся психологов и педагогов-музыкантов А.Д. Алексеева, Г.Г Нейгауза, В.И Петрушина, Г.П Прокофьева, К.С</w:t>
      </w:r>
      <w:r w:rsidR="00C32AA3">
        <w:rPr>
          <w:rFonts w:ascii="Times New Roman" w:hAnsi="Times New Roman" w:cs="Times New Roman"/>
          <w:sz w:val="28"/>
          <w:szCs w:val="28"/>
        </w:rPr>
        <w:t>.</w:t>
      </w:r>
      <w:r w:rsidRPr="00773BF8">
        <w:rPr>
          <w:rFonts w:ascii="Times New Roman" w:hAnsi="Times New Roman" w:cs="Times New Roman"/>
          <w:sz w:val="28"/>
          <w:szCs w:val="28"/>
        </w:rPr>
        <w:t> Станиславского, С.Е Фейенберга, Ю.А Цагарелли и др., но до сих проблема эстрадного самочувствия остается во многом неизученной, раскрытой в недостаточной степени.</w:t>
      </w:r>
    </w:p>
    <w:p w14:paraId="14C7BBA7" w14:textId="77777777" w:rsidR="00D65853" w:rsidRDefault="00773BF8" w:rsidP="00D6585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 xml:space="preserve">Некоторые специалисты С.В Клещев, В.И Петрушин, А.Д Алексеев, Л.М Ганелин и др., считают эстрадное волнение негативным явлением. </w:t>
      </w:r>
      <w:r w:rsidR="00D658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76B3EF" w14:textId="77777777" w:rsidR="00773BF8" w:rsidRPr="00773BF8" w:rsidRDefault="00773BF8" w:rsidP="00D6585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Представители другого направления понимают сущность эстрадного волнения более диалектично. Так, замечательный русский пианист и педагог Г.Г. Нейгауз (1888—1964) подчеркивает не только отрицательные, но и положительные стороны проявления эстрадного волнения. К отрицательным он относит</w:t>
      </w:r>
      <w:r w:rsidR="00D65853">
        <w:rPr>
          <w:rFonts w:ascii="Times New Roman" w:hAnsi="Times New Roman" w:cs="Times New Roman"/>
          <w:sz w:val="28"/>
          <w:szCs w:val="28"/>
        </w:rPr>
        <w:t xml:space="preserve"> </w:t>
      </w:r>
      <w:r w:rsidRPr="00773BF8">
        <w:rPr>
          <w:rFonts w:ascii="Times New Roman" w:hAnsi="Times New Roman" w:cs="Times New Roman"/>
          <w:sz w:val="28"/>
          <w:szCs w:val="28"/>
        </w:rPr>
        <w:t>чувство «страха и робости, которое часто владеет неоперившимися пианистами»,</w:t>
      </w:r>
      <w:r w:rsidR="00D65853">
        <w:rPr>
          <w:rFonts w:ascii="Times New Roman" w:hAnsi="Times New Roman" w:cs="Times New Roman"/>
          <w:sz w:val="28"/>
          <w:szCs w:val="28"/>
        </w:rPr>
        <w:t xml:space="preserve"> </w:t>
      </w:r>
      <w:r w:rsidRPr="00773BF8">
        <w:rPr>
          <w:rFonts w:ascii="Times New Roman" w:hAnsi="Times New Roman" w:cs="Times New Roman"/>
          <w:sz w:val="28"/>
          <w:szCs w:val="28"/>
        </w:rPr>
        <w:t>к положительным — «высоко душевное напряжение, без которого немыслим человек», называя его «хорошим, нужным волнение</w:t>
      </w:r>
      <w:r w:rsidR="0072327B">
        <w:rPr>
          <w:rFonts w:ascii="Times New Roman" w:hAnsi="Times New Roman" w:cs="Times New Roman"/>
          <w:sz w:val="28"/>
          <w:szCs w:val="28"/>
        </w:rPr>
        <w:t>м</w:t>
      </w:r>
      <w:r w:rsidRPr="00773BF8">
        <w:rPr>
          <w:rFonts w:ascii="Times New Roman" w:hAnsi="Times New Roman" w:cs="Times New Roman"/>
          <w:sz w:val="28"/>
          <w:szCs w:val="28"/>
        </w:rPr>
        <w:t>» [8, с. 227].</w:t>
      </w:r>
    </w:p>
    <w:p w14:paraId="5DE1AF7D" w14:textId="77777777" w:rsidR="00773BF8" w:rsidRPr="00773BF8" w:rsidRDefault="00773BF8" w:rsidP="00D6585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 xml:space="preserve">Говоря о причинах возникновения и методах преодоления эстрадного волнения, следует отметить, что профессия музыканта требует значительной физической и моральной выносливости, крепкого здоровья и работоспособности. Запоздалое развитие технических навыков, физическая и эмоциональная зажатость при исполнении сочинения, сценические «потери» далеко не всегда обусловлены методическими просчетами педагога или </w:t>
      </w:r>
      <w:r w:rsidRPr="00773BF8">
        <w:rPr>
          <w:rFonts w:ascii="Times New Roman" w:hAnsi="Times New Roman" w:cs="Times New Roman"/>
          <w:sz w:val="28"/>
          <w:szCs w:val="28"/>
        </w:rPr>
        <w:lastRenderedPageBreak/>
        <w:t>связаны со слабым профессиональным уровнем воспитания исполнительских способностей ученика. Причиной неудач часто оказываются психологические проблемы, зачастую нуждающиеся в специальной социально-психологической «проработке».</w:t>
      </w:r>
    </w:p>
    <w:p w14:paraId="36163C2E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 xml:space="preserve">Одной из главных причин, вызывающих волнение и даже некоторый страх у исполнителя, является боязнь забыть текст. </w:t>
      </w:r>
      <w:r w:rsidR="00922244">
        <w:rPr>
          <w:rFonts w:ascii="Times New Roman" w:hAnsi="Times New Roman" w:cs="Times New Roman"/>
          <w:sz w:val="28"/>
          <w:szCs w:val="28"/>
        </w:rPr>
        <w:t xml:space="preserve"> </w:t>
      </w:r>
      <w:r w:rsidRPr="00773BF8">
        <w:rPr>
          <w:rFonts w:ascii="Times New Roman" w:hAnsi="Times New Roman" w:cs="Times New Roman"/>
          <w:sz w:val="28"/>
          <w:szCs w:val="28"/>
        </w:rPr>
        <w:t>Нужно постараться не уделять этому существенного внимания, иначе от выступления к выступлению нервозность и недоверие к своей памяти будут углубляться. Конечно, только искушенные, опытные исполнители-профессионалы могут убедить себя в том, что сочинение выучено основательно и прочно, именно эта уверенность спасает их от проявления негативных форм сценического волнения.</w:t>
      </w:r>
    </w:p>
    <w:p w14:paraId="0E0F8E86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С нашей точки зрения, утверждение того, что чем чаще музыкант выходит на сценическую площадку, тем богаче его исполнительский опыт и тем реже он страдает от неудачных выступлений, верно. Именно приобретение творческого опыта, профессиональных знаний позволяет ему избегать негативных форм сценического волнения.</w:t>
      </w:r>
    </w:p>
    <w:p w14:paraId="05DB6E0B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Выдающиеся исполнители, выступая перед публикой также волнуются, но состояние их волнения представляет собой скорее возбуждение. Такое «возбуждение можно назвать полезным видом волнения» [6], так как вместо боязни оно порождает повышенную выносливость и обостренность чувств, предоставляющую исполнителю возможность превзойти</w:t>
      </w:r>
      <w:r w:rsidR="00D65853">
        <w:rPr>
          <w:rFonts w:ascii="Times New Roman" w:hAnsi="Times New Roman" w:cs="Times New Roman"/>
          <w:sz w:val="28"/>
          <w:szCs w:val="28"/>
        </w:rPr>
        <w:t xml:space="preserve"> </w:t>
      </w:r>
      <w:r w:rsidRPr="00773BF8">
        <w:rPr>
          <w:rFonts w:ascii="Times New Roman" w:hAnsi="Times New Roman" w:cs="Times New Roman"/>
          <w:sz w:val="28"/>
          <w:szCs w:val="28"/>
        </w:rPr>
        <w:t>самого себя</w:t>
      </w:r>
      <w:r w:rsidRPr="00773BF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73BF8">
        <w:rPr>
          <w:rFonts w:ascii="Times New Roman" w:hAnsi="Times New Roman" w:cs="Times New Roman"/>
          <w:sz w:val="28"/>
          <w:szCs w:val="28"/>
        </w:rPr>
        <w:t xml:space="preserve"> Таким образом, ключевой задачей каждого исполнителя является нахождение зоны между сценическим волнением и паническим страхом, в которой он может творчески реализовать себя.</w:t>
      </w:r>
    </w:p>
    <w:p w14:paraId="4E195AC9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Необходимость уверенно выглядеть и свободно чувствовать себя на публике, легко преодолевать конфликтные или иные стрессовые ситуации ставит проблему поиска специальных методов, направленных на формирование у музыканта внутренних средств поддержания оптимального самочувствия, стрессоустойчивости и навыков саморегуляции.</w:t>
      </w:r>
    </w:p>
    <w:p w14:paraId="3DBCB31A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lastRenderedPageBreak/>
        <w:t> В структуре саморегуляции, по мнению российского психолога Г.С Никифорова, следует выделять самооценку, самоконтроль и самокоррекцию [9; 10]. Доктор психологических наук Ю.А Цагарелли, учитывая специфику музыкально-исполнительской деятельности, предлагает включить в структуру надежности в концертном выступлении четвертую составляющую — самонастройку [13].</w:t>
      </w:r>
    </w:p>
    <w:p w14:paraId="0B2FBD5F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«Самооценка является важнейшим источником информации в структуре саморегуляции музыканта-исполнителя.</w:t>
      </w:r>
      <w:r w:rsidR="00D65853">
        <w:rPr>
          <w:rFonts w:ascii="Times New Roman" w:hAnsi="Times New Roman" w:cs="Times New Roman"/>
          <w:sz w:val="28"/>
          <w:szCs w:val="28"/>
        </w:rPr>
        <w:t xml:space="preserve"> </w:t>
      </w:r>
      <w:r w:rsidRPr="00773BF8">
        <w:rPr>
          <w:rFonts w:ascii="Times New Roman" w:hAnsi="Times New Roman" w:cs="Times New Roman"/>
          <w:sz w:val="28"/>
          <w:szCs w:val="28"/>
        </w:rPr>
        <w:t>От степени адекватности самооценки зависит адекватность самоконтроля и самокоррекции» [13, с. 202]. Адекватности самооценки способствует ориентация на примеры лучших музыкантов-исполнителей.</w:t>
      </w:r>
    </w:p>
    <w:p w14:paraId="41809F95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Самоконтроль — это «способность слушать себя».</w:t>
      </w:r>
    </w:p>
    <w:p w14:paraId="7E76E833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Самокоррекция позволяет повышать уровень качества каждого последующего выступления, являясь, таким образом, итоговым эффектом саморегуляции музыканта-исполнителя.</w:t>
      </w:r>
    </w:p>
    <w:p w14:paraId="32B6DAE6" w14:textId="77777777" w:rsidR="00773BF8" w:rsidRPr="00773BF8" w:rsidRDefault="00773BF8" w:rsidP="00D65853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Самонастройку в концертном выступлении можно определить как «процесс саморегуляции психических состояний, эмоций и чувств, связанных с концертным исполнением. Итогом процесса самонастройки является психоэмоциональная готовность к концертному выступлению» [13, с. 209]</w:t>
      </w:r>
    </w:p>
    <w:p w14:paraId="2BF87276" w14:textId="77777777" w:rsidR="00773BF8" w:rsidRPr="00773BF8" w:rsidRDefault="00773BF8" w:rsidP="00C55277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 xml:space="preserve">Значительную помощь в процессе подготовки к концертному выступлению может оказать искусственное моделирование состояния, близкого к сценическому. Создание искусственной стрессовой ситуации, безусловно, способствует укреплению воли исполнителя. </w:t>
      </w:r>
    </w:p>
    <w:p w14:paraId="754BE897" w14:textId="77777777" w:rsidR="00773BF8" w:rsidRPr="00773BF8" w:rsidRDefault="00773BF8" w:rsidP="0017638B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Практические рекомендации музыканту-исполнителю состоят в необходимости правильной психологической установки на успешное выступление в день концерта, оказывающей позитивное влияние на исполнение программы на сцене.</w:t>
      </w:r>
    </w:p>
    <w:p w14:paraId="7C26CCE2" w14:textId="77777777" w:rsidR="00773BF8" w:rsidRPr="00773BF8" w:rsidRDefault="00773BF8" w:rsidP="0017638B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 xml:space="preserve">Н.К Метнер (1879—1951) считал, что перед концертом надо придерживаться следующих правил: «Не доводить руку и слух до утомления! </w:t>
      </w:r>
      <w:r w:rsidRPr="00773BF8">
        <w:rPr>
          <w:rFonts w:ascii="Times New Roman" w:hAnsi="Times New Roman" w:cs="Times New Roman"/>
          <w:sz w:val="28"/>
          <w:szCs w:val="28"/>
        </w:rPr>
        <w:lastRenderedPageBreak/>
        <w:t>Упражнять только удобство, легкость и гибкость рук, и главное — красоту звука» [7, с. 33]. Опытные музыканты советуют накануне концерта, предпочтительно утром, проиграть программу только один раз, не разделяя ее на части и не повторяя их отдельно, что может отрицательно сказаться на воспроизведе</w:t>
      </w:r>
      <w:r w:rsidR="006F2995">
        <w:rPr>
          <w:rFonts w:ascii="Times New Roman" w:hAnsi="Times New Roman" w:cs="Times New Roman"/>
          <w:sz w:val="28"/>
          <w:szCs w:val="28"/>
        </w:rPr>
        <w:t xml:space="preserve">нии единства музыкальной ткани. </w:t>
      </w:r>
      <w:r w:rsidRPr="00773BF8">
        <w:rPr>
          <w:rFonts w:ascii="Times New Roman" w:hAnsi="Times New Roman" w:cs="Times New Roman"/>
          <w:sz w:val="28"/>
          <w:szCs w:val="28"/>
        </w:rPr>
        <w:t>В предконцертные дни рекомендуется не работать над программой, а посвятить время о</w:t>
      </w:r>
      <w:r w:rsidR="006F2995">
        <w:rPr>
          <w:rFonts w:ascii="Times New Roman" w:hAnsi="Times New Roman" w:cs="Times New Roman"/>
          <w:sz w:val="28"/>
          <w:szCs w:val="28"/>
        </w:rPr>
        <w:t>тдыху</w:t>
      </w:r>
      <w:r w:rsidRPr="00773BF8">
        <w:rPr>
          <w:rFonts w:ascii="Times New Roman" w:hAnsi="Times New Roman" w:cs="Times New Roman"/>
          <w:sz w:val="28"/>
          <w:szCs w:val="28"/>
        </w:rPr>
        <w:t> [6].</w:t>
      </w:r>
    </w:p>
    <w:p w14:paraId="778EE6D2" w14:textId="77777777" w:rsidR="00773BF8" w:rsidRPr="00773BF8" w:rsidRDefault="00773BF8" w:rsidP="0017638B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В день концерта важна каждая мелочь. Перед выходом из дома все следует делать спокойно, не торопясь</w:t>
      </w:r>
      <w:r w:rsidR="006F2995">
        <w:rPr>
          <w:rFonts w:ascii="Times New Roman" w:hAnsi="Times New Roman" w:cs="Times New Roman"/>
          <w:sz w:val="28"/>
          <w:szCs w:val="28"/>
        </w:rPr>
        <w:t>,</w:t>
      </w:r>
      <w:r w:rsidRPr="00773BF8">
        <w:rPr>
          <w:rFonts w:ascii="Times New Roman" w:hAnsi="Times New Roman" w:cs="Times New Roman"/>
          <w:sz w:val="28"/>
          <w:szCs w:val="28"/>
        </w:rPr>
        <w:t xml:space="preserve"> не создавать дополнительных стимулов ситуаций беспокойства. Непосредственно перед выступлением не следует вести бессодержательные разговоры, которые снижают настрой и уровень творческой активности. В последние минуты перед выходом на сцену следует категорически избегать лихорадочных повторений коротких эпизодов произведений программы и их поспешных исполнений «для закрепления в памяти». Лучше внутренне собраться, представить себе характер произведения, несколько раз вдохнуть и глубоко выдохнуть, и смело выходить на сцену.</w:t>
      </w:r>
    </w:p>
    <w:p w14:paraId="4039F5B5" w14:textId="77777777" w:rsidR="00773BF8" w:rsidRPr="00773BF8" w:rsidRDefault="00773BF8" w:rsidP="0017638B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При недостаточной уверенности музыканта, при появлении мыслей о возможном провале, можно воспользоваться маской уверенности; на первых порах искусственная и наигранная, она со временем становится частью его характера</w:t>
      </w:r>
      <w:r w:rsidR="006F2995">
        <w:rPr>
          <w:rFonts w:ascii="Times New Roman" w:hAnsi="Times New Roman" w:cs="Times New Roman"/>
          <w:sz w:val="28"/>
          <w:szCs w:val="28"/>
        </w:rPr>
        <w:t>.</w:t>
      </w:r>
    </w:p>
    <w:p w14:paraId="0A93FE7E" w14:textId="77777777" w:rsidR="00773BF8" w:rsidRPr="00773BF8" w:rsidRDefault="00773BF8" w:rsidP="0017638B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Для установления необходимого игрового контакта пианиста с инструментом очень важно предварительно поиграть в зале, где предстоит концерт. Это позволит почувствовать атмосферу зала, «оставить часть волнения в пустом зале» [4, с. 81], как говорят некоторые исполнители. Если не было возможности заранее отрепетировать программу на концертном инструменте, не нужно впадать в беспокойство. Необходимо, начав играть, прислушаться к звучанию инструмента и постараться к нему приспособиться. Не последнюю роль также играют высота сидения за инструментом, освещенность зала и клавиатуры, удобство одежды и обуви.</w:t>
      </w:r>
    </w:p>
    <w:p w14:paraId="6A96E42A" w14:textId="77777777" w:rsidR="00773BF8" w:rsidRPr="00773BF8" w:rsidRDefault="00773BF8" w:rsidP="004976E1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lastRenderedPageBreak/>
        <w:t xml:space="preserve">Немаловажное значение имеет его сценическое поведение: выход и уход со сцены, поклоны, т. е. то, что называется артистизмом. Выйдя на сцену, пианисту следует дождаться тишины в зале, одновременно с этим окончательно настраиваясь на исполнение. </w:t>
      </w:r>
    </w:p>
    <w:p w14:paraId="39BC0888" w14:textId="77777777" w:rsidR="00496824" w:rsidRDefault="00773BF8" w:rsidP="004976E1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 xml:space="preserve">Очень важно ощутить акустику зала и наладить контакт со слушателями. Исполнение должно быть эмоциональным, увлекающим публику, но не должно переходить разумные границы, становясь бесконтрольными приступами темперамента, которые не способствуют раскрытию художественного образа, а вызывают только недоумение. </w:t>
      </w:r>
    </w:p>
    <w:p w14:paraId="7DA02B1C" w14:textId="77777777" w:rsidR="00773BF8" w:rsidRPr="00773BF8" w:rsidRDefault="00773BF8" w:rsidP="004976E1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Во время концерта могут появиться какие-то неожиданности. Важно научиться не придавать этому значения, уметь «забыть» любой промах во время исполнения, иначе из-за незначительной помарки можно провалить все выступление.</w:t>
      </w:r>
    </w:p>
    <w:p w14:paraId="04A2CBFC" w14:textId="77777777" w:rsidR="00773BF8" w:rsidRPr="00773BF8" w:rsidRDefault="00773BF8" w:rsidP="004976E1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Подводя итог сказанному, следует заметить, что профессиональные достижения музыканта оказываются обусловленными не только развитием и совершенствованием его способностей и работой с ним профессиональных педагогов, но и в значительной мере наличием у него сильной воли, под которой чаще всего понимают способность чело</w:t>
      </w:r>
      <w:r w:rsidRPr="00773BF8">
        <w:rPr>
          <w:rFonts w:ascii="Times New Roman" w:hAnsi="Times New Roman" w:cs="Times New Roman"/>
          <w:sz w:val="28"/>
          <w:szCs w:val="28"/>
        </w:rPr>
        <w:softHyphen/>
        <w:t>века к преодолению препятствий как внешнего, так и внутреннего порядка на пути движения к цели. Главное для исполнителя — понять, что сценическое выступление и связанное с ним эстрадное самочувствие — это не только испытание нервной системы на прочность, но и радость от общения с публикой, творческое вдохновение и профессиональный рост.</w:t>
      </w:r>
    </w:p>
    <w:p w14:paraId="74782AEE" w14:textId="77777777" w:rsidR="00F60F04" w:rsidRDefault="00773BF8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 </w:t>
      </w:r>
    </w:p>
    <w:p w14:paraId="5D136347" w14:textId="77777777" w:rsidR="003D5D21" w:rsidRDefault="00F60F04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1317B039" w14:textId="77777777" w:rsidR="003D5D21" w:rsidRDefault="003D5D21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395377" w14:textId="77777777" w:rsidR="003D5D21" w:rsidRDefault="003D5D21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E1D046" w14:textId="77777777" w:rsidR="003D5D21" w:rsidRDefault="003D5D21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83F08D" w14:textId="77777777" w:rsidR="003D5D21" w:rsidRDefault="003D5D21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13E8FE" w14:textId="69C64CFA" w:rsidR="008F00A9" w:rsidRDefault="00F60F04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299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33DE2DEB" w14:textId="77777777" w:rsidR="00773BF8" w:rsidRPr="006F2995" w:rsidRDefault="008F00A9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</w:t>
      </w:r>
      <w:r w:rsidR="00773BF8" w:rsidRPr="006F2995">
        <w:rPr>
          <w:rFonts w:ascii="Times New Roman" w:hAnsi="Times New Roman" w:cs="Times New Roman"/>
          <w:bCs/>
          <w:sz w:val="28"/>
          <w:szCs w:val="28"/>
        </w:rPr>
        <w:t>Список литературы:</w:t>
      </w:r>
    </w:p>
    <w:p w14:paraId="6D945B72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Вчерашний В.В. Психологические особенности подготовки пианиста к концертному выступлению. [Электронный ресурс] — Режим доступа. —</w:t>
      </w:r>
      <w:hyperlink r:id="rId7" w:history="1">
        <w:r w:rsidRPr="00773BF8">
          <w:rPr>
            <w:rStyle w:val="a3"/>
            <w:rFonts w:ascii="Times New Roman" w:hAnsi="Times New Roman" w:cs="Times New Roman"/>
            <w:sz w:val="28"/>
            <w:szCs w:val="28"/>
          </w:rPr>
          <w:t>http://bibliofond.ru/view.aspx?id=10279</w:t>
        </w:r>
      </w:hyperlink>
      <w:r w:rsidRPr="00773BF8">
        <w:rPr>
          <w:rFonts w:ascii="Times New Roman" w:hAnsi="Times New Roman" w:cs="Times New Roman"/>
          <w:sz w:val="28"/>
          <w:szCs w:val="28"/>
        </w:rPr>
        <w:t> (дата обращения 01.09.2012 г.)</w:t>
      </w:r>
    </w:p>
    <w:p w14:paraId="6F8524C3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Дрындин В.А. Самоконтроль и волевая регуляция как приемы, направленные на преодоление сценического волнения. [Электронный ресурс] — Режим доступа. —</w:t>
      </w:r>
      <w:hyperlink r:id="rId8" w:history="1">
        <w:r w:rsidRPr="00773BF8">
          <w:rPr>
            <w:rStyle w:val="a3"/>
            <w:rFonts w:ascii="Times New Roman" w:hAnsi="Times New Roman" w:cs="Times New Roman"/>
            <w:sz w:val="28"/>
            <w:szCs w:val="28"/>
          </w:rPr>
          <w:t>http://smrgaki.ru/8/4/1.htm</w:t>
        </w:r>
      </w:hyperlink>
      <w:r w:rsidRPr="00773BF8">
        <w:rPr>
          <w:rFonts w:ascii="Times New Roman" w:hAnsi="Times New Roman" w:cs="Times New Roman"/>
          <w:sz w:val="28"/>
          <w:szCs w:val="28"/>
        </w:rPr>
        <w:t> (дата обращения 02 09 2012 г.)</w:t>
      </w:r>
    </w:p>
    <w:p w14:paraId="61E052E3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Винокурова Е.С.,Блинова О.А. Вопросы оптимизации функциональных состояний студентов-пианистов (социально-психологический аспект). // Современные наукоемкие технологии. — 2005. — № 2. — С 59—62.</w:t>
      </w:r>
    </w:p>
    <w:p w14:paraId="75D8A6A7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Григорьев В.Ю. Исполнитель и эстрада. М.: Издательский дом «Классика-XXI», 2006. — 156 с.</w:t>
      </w:r>
    </w:p>
    <w:p w14:paraId="137E4CDB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Земцова Т.Н. Влияние эстрадного волнения на качество публичных выступлений. //Среднее профессиональное образование. — 2010. — № 1. — С 63—65</w:t>
      </w:r>
    </w:p>
    <w:p w14:paraId="6F572E85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Маккиннон Л. Игра наизусть. — Л.: Музыка, 1967. — 144 с.</w:t>
      </w:r>
    </w:p>
    <w:p w14:paraId="7EA090A9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Метнер Н.К. Повседневная работа пианиста и композитора: Страницы из записных книжек / Сост. М.А Гурвич, Л.Г Лукомский; Вступ. статья, коммент. П.И Васильева. — М.: Музыка, 1979. — Изд 2. — 71 с.</w:t>
      </w:r>
    </w:p>
    <w:p w14:paraId="70DA9668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Нейгауз. Г.Г. Об искусстве фортепианной игры: Записки педагога. 4-е изд. — М.: Музыка, 1982. — 300 с.</w:t>
      </w:r>
    </w:p>
    <w:p w14:paraId="0CC90D18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Никифоров Г.С. Самоконтроль как механизм надежности человека-оператора. — Л.: Изд-во ЛГУ, 1977. — 112 с.</w:t>
      </w:r>
    </w:p>
    <w:p w14:paraId="18080832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Никифоров Г.С. Самоконтроль человека. — Л.: Изд-во ЛГУ, 1989. — 192 с.</w:t>
      </w:r>
    </w:p>
    <w:p w14:paraId="072F1BAB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Норбеков М. Дурака учить — что мертвого лечить или Советы здоровья на каждый день. — М.: ИГ «Весь», 2002. — 192 с.</w:t>
      </w:r>
    </w:p>
    <w:p w14:paraId="354516C2" w14:textId="77777777" w:rsidR="00773BF8" w:rsidRP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t>Прокофьев Г.П. Формирование музыканта-исполнителя. — М.: Изд-во АПН РСФСР, 1956. — 480 с.</w:t>
      </w:r>
    </w:p>
    <w:p w14:paraId="3686EDB0" w14:textId="77777777" w:rsidR="00773BF8" w:rsidRDefault="00773BF8" w:rsidP="00773BF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BF8">
        <w:rPr>
          <w:rFonts w:ascii="Times New Roman" w:hAnsi="Times New Roman" w:cs="Times New Roman"/>
          <w:sz w:val="28"/>
          <w:szCs w:val="28"/>
        </w:rPr>
        <w:lastRenderedPageBreak/>
        <w:t>Цагарелли Ю.А. Психология музыкально-исполнительской деятельности. Учебное пособие. — СПб.: Композитор, 2008. — 368 с</w:t>
      </w:r>
      <w:r w:rsidR="006E4100">
        <w:rPr>
          <w:rFonts w:ascii="Times New Roman" w:hAnsi="Times New Roman" w:cs="Times New Roman"/>
          <w:sz w:val="28"/>
          <w:szCs w:val="28"/>
        </w:rPr>
        <w:t>.</w:t>
      </w:r>
    </w:p>
    <w:p w14:paraId="71595146" w14:textId="77777777" w:rsidR="006E4100" w:rsidRDefault="006E4100" w:rsidP="006E410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EAF490" w14:textId="77777777" w:rsidR="00C66A34" w:rsidRPr="00773BF8" w:rsidRDefault="00C66A34" w:rsidP="00773BF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66A34" w:rsidRPr="00773B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760DB" w14:textId="77777777" w:rsidR="00DE09CD" w:rsidRDefault="00DE09CD" w:rsidP="009B2454">
      <w:pPr>
        <w:spacing w:after="0" w:line="240" w:lineRule="auto"/>
      </w:pPr>
      <w:r>
        <w:separator/>
      </w:r>
    </w:p>
  </w:endnote>
  <w:endnote w:type="continuationSeparator" w:id="0">
    <w:p w14:paraId="0F598F45" w14:textId="77777777" w:rsidR="00DE09CD" w:rsidRDefault="00DE09CD" w:rsidP="009B2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616911"/>
      <w:docPartObj>
        <w:docPartGallery w:val="Page Numbers (Bottom of Page)"/>
        <w:docPartUnique/>
      </w:docPartObj>
    </w:sdtPr>
    <w:sdtEndPr/>
    <w:sdtContent>
      <w:p w14:paraId="002F1B83" w14:textId="72394009" w:rsidR="009B2454" w:rsidRDefault="009B245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D21">
          <w:rPr>
            <w:noProof/>
          </w:rPr>
          <w:t>8</w:t>
        </w:r>
        <w:r>
          <w:fldChar w:fldCharType="end"/>
        </w:r>
      </w:p>
    </w:sdtContent>
  </w:sdt>
  <w:p w14:paraId="2A3F172E" w14:textId="77777777" w:rsidR="009B2454" w:rsidRDefault="009B24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25D8" w14:textId="77777777" w:rsidR="00DE09CD" w:rsidRDefault="00DE09CD" w:rsidP="009B2454">
      <w:pPr>
        <w:spacing w:after="0" w:line="240" w:lineRule="auto"/>
      </w:pPr>
      <w:r>
        <w:separator/>
      </w:r>
    </w:p>
  </w:footnote>
  <w:footnote w:type="continuationSeparator" w:id="0">
    <w:p w14:paraId="2B777704" w14:textId="77777777" w:rsidR="00DE09CD" w:rsidRDefault="00DE09CD" w:rsidP="009B2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67AD"/>
    <w:multiLevelType w:val="multilevel"/>
    <w:tmpl w:val="528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5A222D"/>
    <w:multiLevelType w:val="multilevel"/>
    <w:tmpl w:val="C35E6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14426E"/>
    <w:multiLevelType w:val="multilevel"/>
    <w:tmpl w:val="6FC43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B97E67"/>
    <w:multiLevelType w:val="multilevel"/>
    <w:tmpl w:val="2642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85B"/>
    <w:rsid w:val="001631A2"/>
    <w:rsid w:val="0017638B"/>
    <w:rsid w:val="001B4739"/>
    <w:rsid w:val="003D5D21"/>
    <w:rsid w:val="0040576B"/>
    <w:rsid w:val="00464A82"/>
    <w:rsid w:val="00496824"/>
    <w:rsid w:val="004976E1"/>
    <w:rsid w:val="006E4100"/>
    <w:rsid w:val="006F2995"/>
    <w:rsid w:val="0072327B"/>
    <w:rsid w:val="00764FE1"/>
    <w:rsid w:val="00773BF8"/>
    <w:rsid w:val="007C17E3"/>
    <w:rsid w:val="00850EBC"/>
    <w:rsid w:val="00866D3D"/>
    <w:rsid w:val="008C629D"/>
    <w:rsid w:val="008F00A9"/>
    <w:rsid w:val="0091785B"/>
    <w:rsid w:val="00922244"/>
    <w:rsid w:val="0096487D"/>
    <w:rsid w:val="009B2454"/>
    <w:rsid w:val="00C32AA3"/>
    <w:rsid w:val="00C55277"/>
    <w:rsid w:val="00C66A34"/>
    <w:rsid w:val="00C832C9"/>
    <w:rsid w:val="00CB7855"/>
    <w:rsid w:val="00D65853"/>
    <w:rsid w:val="00DE09CD"/>
    <w:rsid w:val="00E549B5"/>
    <w:rsid w:val="00E67999"/>
    <w:rsid w:val="00F6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24F1D"/>
  <w15:docId w15:val="{32DA6C37-ACA6-4F7E-80E2-53FB89A5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3BF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B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2454"/>
  </w:style>
  <w:style w:type="paragraph" w:styleId="a6">
    <w:name w:val="footer"/>
    <w:basedOn w:val="a"/>
    <w:link w:val="a7"/>
    <w:uiPriority w:val="99"/>
    <w:unhideWhenUsed/>
    <w:rsid w:val="009B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2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7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rgaki.ru/8/4/1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fond.ru/view.aspx?id=102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8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26</cp:revision>
  <dcterms:created xsi:type="dcterms:W3CDTF">2014-10-09T08:04:00Z</dcterms:created>
  <dcterms:modified xsi:type="dcterms:W3CDTF">2022-01-28T12:24:00Z</dcterms:modified>
</cp:coreProperties>
</file>