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C0F14">
        <w:rPr>
          <w:rFonts w:ascii="Times New Roman" w:eastAsia="Calibri" w:hAnsi="Times New Roman" w:cs="Times New Roman"/>
          <w:bCs/>
          <w:sz w:val="28"/>
          <w:szCs w:val="28"/>
        </w:rPr>
        <w:t>Анисимова Ирина Викторовна</w:t>
      </w:r>
    </w:p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5C0F14">
        <w:rPr>
          <w:rFonts w:ascii="Times New Roman" w:eastAsia="Calibri" w:hAnsi="Times New Roman" w:cs="Times New Roman"/>
          <w:bCs/>
          <w:sz w:val="28"/>
          <w:szCs w:val="28"/>
        </w:rPr>
        <w:t>Папст</w:t>
      </w:r>
      <w:proofErr w:type="spellEnd"/>
      <w:r w:rsidRPr="005C0F14">
        <w:rPr>
          <w:rFonts w:ascii="Times New Roman" w:eastAsia="Calibri" w:hAnsi="Times New Roman" w:cs="Times New Roman"/>
          <w:bCs/>
          <w:sz w:val="28"/>
          <w:szCs w:val="28"/>
        </w:rPr>
        <w:t xml:space="preserve"> Марина Михайловна</w:t>
      </w:r>
    </w:p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C0F14">
        <w:rPr>
          <w:rFonts w:ascii="Times New Roman" w:eastAsia="Calibri" w:hAnsi="Times New Roman" w:cs="Times New Roman"/>
          <w:bCs/>
          <w:sz w:val="28"/>
          <w:szCs w:val="28"/>
        </w:rPr>
        <w:t xml:space="preserve">преподаватели </w:t>
      </w:r>
    </w:p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C0F14">
        <w:rPr>
          <w:rFonts w:ascii="Times New Roman" w:eastAsia="Calibri" w:hAnsi="Times New Roman" w:cs="Times New Roman"/>
          <w:bCs/>
          <w:sz w:val="28"/>
          <w:szCs w:val="28"/>
        </w:rPr>
        <w:t xml:space="preserve">Фармацевтического филиала </w:t>
      </w:r>
    </w:p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C0F14">
        <w:rPr>
          <w:rFonts w:ascii="Times New Roman" w:eastAsia="Calibri" w:hAnsi="Times New Roman" w:cs="Times New Roman"/>
          <w:bCs/>
          <w:sz w:val="28"/>
          <w:szCs w:val="28"/>
        </w:rPr>
        <w:t>ГБПОУ «СОМК»</w:t>
      </w:r>
    </w:p>
    <w:p w:rsidR="005C0F14" w:rsidRPr="005C0F14" w:rsidRDefault="005C0F14" w:rsidP="00D44CF2">
      <w:pPr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C0F14">
        <w:rPr>
          <w:rFonts w:ascii="Times New Roman" w:eastAsia="Calibri" w:hAnsi="Times New Roman" w:cs="Times New Roman"/>
          <w:bCs/>
          <w:sz w:val="28"/>
          <w:szCs w:val="28"/>
        </w:rPr>
        <w:t>г. Екатеринбург, Свердловская область</w:t>
      </w:r>
    </w:p>
    <w:p w:rsidR="00D44CF2" w:rsidRDefault="00D44CF2" w:rsidP="00F52B9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F52B95" w:rsidRPr="001124D9" w:rsidRDefault="00F52B95" w:rsidP="00F52B9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proofErr w:type="spellStart"/>
      <w:r w:rsidRPr="001124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Эколого</w:t>
      </w:r>
      <w:proofErr w:type="spellEnd"/>
      <w:r w:rsidRPr="001124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– гигиеническое воспитание студентов как мотивация здорового образа жизни</w:t>
      </w:r>
    </w:p>
    <w:p w:rsidR="00F52B95" w:rsidRDefault="00F52B95" w:rsidP="00F52B9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0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</w:t>
      </w:r>
      <w:r w:rsidRPr="006907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F5F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составная часть образования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F5F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необходимое условие педагогики. Целью эколого-гигиенического воспитания является </w:t>
      </w:r>
      <w:r w:rsidRPr="009069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разностороннее развитие личности, дающее возможность осознанного выбора ценностных ориентаций,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ответственного, бережливого отношения к природе. </w:t>
      </w:r>
      <w:r w:rsidRPr="00117C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Экология глубоко проникает в гигиеническ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ие знания и невозможно</w:t>
      </w:r>
      <w:r w:rsidRPr="00117C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планировать различные виды деятельности человека, уклоняясь от необходимости постоянно согласовывать 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возможностями природы </w:t>
      </w:r>
      <w:r w:rsidRPr="006E6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(Т. </w:t>
      </w:r>
      <w:proofErr w:type="spellStart"/>
      <w:r w:rsidRPr="006E6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Дичев</w:t>
      </w:r>
      <w:proofErr w:type="spellEnd"/>
      <w:r w:rsidRPr="006E6A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2001, С.И. Мишанин, 2002).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52B95" w:rsidRDefault="00F52B95" w:rsidP="00F52B9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Изучение влияния факторов окружающей среды на здоровье человека, приобщение студентов к социокультурным ценностям, изучение принципов устойчивого развития и сохранения биосферы как условия эволюции общества, дает возможность принимать </w:t>
      </w:r>
      <w:r w:rsidRPr="00D31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самостоятельн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r w:rsidRPr="00D313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решения по вопросам сохранения и укрепления здоровья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Это 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просветительск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обучающ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воспитательн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деятельность, направленн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F861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повышение информированности по вопросам здоровья и его охраны, формирование культуры здоровья, закрепление гигиенических навыков, создание мотивации для ведения здорового образа жизни отдельных людей и общества в целом [1, с. 12].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52B95" w:rsidRPr="00970BB7" w:rsidRDefault="00F52B95" w:rsidP="00F52B9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r w:rsidRPr="00826A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азвивая общие компетенции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1642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указанные в</w:t>
      </w:r>
      <w:r w:rsidRPr="001642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требованиях ФГОС 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по специальности 33.02.01 Фармация,</w:t>
      </w:r>
      <w:r w:rsidRPr="001642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26A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01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том числе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 w:rsidRPr="00A01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готовность </w:t>
      </w:r>
      <w:r w:rsidRPr="00BD3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брать на себя нравственные обязательства по отношению к природе, обществу и человеку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D3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(ОК1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Pr="00BD37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Pr="00A01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</w:t>
      </w:r>
      <w:r w:rsidRPr="00A01A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здорового образа жизни (ОК12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преподаватели учебной д</w:t>
      </w:r>
      <w:r w:rsidRPr="001642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исциплин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1642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ОП.05. Гигиена и экология человека,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Фармацевтического филиала ГБПОУ «СОМК»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используют следующие </w:t>
      </w: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общепризнанны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принципы: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сознательности и активности;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систематичности и последовательности;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доступности;</w:t>
      </w:r>
    </w:p>
    <w:p w:rsidR="00F52B95" w:rsidRPr="00970BB7" w:rsidRDefault="00F52B95" w:rsidP="00F52B95">
      <w:pPr>
        <w:pStyle w:val="a3"/>
        <w:numPr>
          <w:ilvl w:val="0"/>
          <w:numId w:val="2"/>
        </w:numPr>
        <w:tabs>
          <w:tab w:val="left" w:pos="0"/>
          <w:tab w:val="left" w:pos="9071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0B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связи теории с практикой.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1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Аудиторные занятия сопровождаются презентациями, учебными фильмами, организуется обратная связь при обсуждении изучаемого материала.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рассмотрении тематики здорового образа жизни о</w:t>
      </w:r>
      <w:r w:rsidRPr="00810A53">
        <w:rPr>
          <w:rFonts w:ascii="Times New Roman" w:hAnsi="Times New Roman" w:cs="Times New Roman"/>
          <w:sz w:val="28"/>
          <w:szCs w:val="28"/>
        </w:rPr>
        <w:t>бозначается междисциплинарная интеграция</w:t>
      </w:r>
      <w:r>
        <w:rPr>
          <w:rFonts w:ascii="Times New Roman" w:hAnsi="Times New Roman" w:cs="Times New Roman"/>
          <w:sz w:val="28"/>
          <w:szCs w:val="28"/>
        </w:rPr>
        <w:t xml:space="preserve"> с анатомией и физиологией человека, основами патологии</w:t>
      </w:r>
      <w:r w:rsidRPr="00810A5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основами м</w:t>
      </w:r>
      <w:r w:rsidRPr="001F7C81">
        <w:rPr>
          <w:rFonts w:ascii="Times New Roman" w:hAnsi="Times New Roman" w:cs="Times New Roman"/>
          <w:sz w:val="28"/>
          <w:szCs w:val="28"/>
        </w:rPr>
        <w:t>икробиологи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C81">
        <w:rPr>
          <w:rFonts w:ascii="Times New Roman" w:hAnsi="Times New Roman" w:cs="Times New Roman"/>
          <w:sz w:val="28"/>
          <w:szCs w:val="28"/>
        </w:rPr>
        <w:t xml:space="preserve"> и иммунологи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810A53">
        <w:rPr>
          <w:rFonts w:ascii="Times New Roman" w:hAnsi="Times New Roman" w:cs="Times New Roman"/>
          <w:sz w:val="28"/>
          <w:szCs w:val="28"/>
        </w:rPr>
        <w:t xml:space="preserve"> </w:t>
      </w:r>
      <w:r w:rsidRPr="00810A53">
        <w:rPr>
          <w:rFonts w:ascii="Times New Roman" w:hAnsi="Times New Roman" w:cs="Times New Roman"/>
          <w:color w:val="000000"/>
          <w:sz w:val="28"/>
          <w:szCs w:val="28"/>
        </w:rPr>
        <w:t>устанавливается связь с будущей профессиональной деятельностью</w:t>
      </w:r>
      <w:r w:rsidRPr="00810A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формирования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общепрофессиональных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знаний и развития общих компетенций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организована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работа,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участвуют 100% обучающихся. Она включает реферативную работу, подготовку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докладов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презентаций, 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формационных листков. </w:t>
      </w:r>
    </w:p>
    <w:p w:rsidR="00F52B95" w:rsidRDefault="00F52B95" w:rsidP="00F52B95">
      <w:pPr>
        <w:tabs>
          <w:tab w:val="left" w:pos="0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 этап направлен на активизацию творческих способностей студентов,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ает им возможность получить опыт организации рабочего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 и времени досуга, режима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Студенты раскрывают вопросы негативного влия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алкоголизма,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табакокурения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наркомании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компьютерной зависимости;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значения экологических факторов для состояния здоровья человека; разрабатывают рекомендации по </w:t>
      </w:r>
      <w:r w:rsidRPr="0054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545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здоровья молодежи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 вопросам профилактики социально значимых заболеваний, отказа от вредных привычек оформляются информационные листки. </w:t>
      </w:r>
    </w:p>
    <w:p w:rsidR="00F52B95" w:rsidRDefault="00F52B95" w:rsidP="00F52B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Студенты создают буклеты, которые используют в качестве раздаточного материала при участии в волонтерских акциях, получая положительные отклики. Так, в 2018-2019 учебном году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флэш-мобы посвящённые:  </w:t>
      </w:r>
      <w:r w:rsidRPr="00861452">
        <w:rPr>
          <w:rFonts w:ascii="Times New Roman" w:eastAsia="Calibri" w:hAnsi="Times New Roman" w:cs="Times New Roman"/>
          <w:sz w:val="28"/>
          <w:szCs w:val="28"/>
        </w:rPr>
        <w:t>Всемирному дню борьбы с туберкулезом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Всемирному дню памяти жертв СПИДа, Всемирному дню без табака, месячнику пенсионера Свердловской области и др. 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студенты  изъявляют желание продолжить свою работу на более высоком уровне.</w:t>
      </w:r>
      <w:r w:rsidRPr="00780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исследовательской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происходит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ация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накопленны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проблемой, актуальной для участников проекта. Выбор тематики проектов направлен </w:t>
      </w:r>
      <w:r w:rsidRPr="00A41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сохранение и укрепление здоровья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аботка способов деятельности по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выделять, формулировать, анализировать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находить пути решения 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вуют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научно – практических конференциях,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делятся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информацией и обмениваются опытом друг с другом. </w:t>
      </w:r>
    </w:p>
    <w:p w:rsidR="00F52B95" w:rsidRDefault="00F52B95" w:rsidP="00F52B95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Результативность студенческой научно – исследовательской деятельности подтверждена дипломами и благодарностями разного уровня. Так, за  участие в Межрегиональных студенческих научно – практических конференциях (с международным участием) работа «Мифы о яблоках» (2017 г.) отмечена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Pr="00C36F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иплом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</w:t>
      </w:r>
      <w:r w:rsidRPr="00C36F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C36F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III</w:t>
      </w:r>
      <w:r w:rsidRPr="00C36F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степени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работа </w:t>
      </w:r>
      <w:r w:rsidRPr="009D07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«Профилактика сердечно – сосудистых заболеваний»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(2019 г.) отмечена </w:t>
      </w:r>
      <w:r w:rsidRPr="009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Диплом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9D0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номинации за нестандартный подход к решению поднятых проблем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Руководители работ отмечены Благодарностью за подготовку студентов к участию. Работа: </w:t>
      </w:r>
      <w:r w:rsidRPr="00A41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«Понятие трезвости как нравственной ценности и христианской добродетели в сознании современной молодежи»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(2018 г.)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отмечена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ипломом</w:t>
      </w:r>
      <w:r w:rsidRPr="000C13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III</w:t>
      </w:r>
      <w:r w:rsidRPr="00A41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степени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Областной научно – </w:t>
      </w:r>
      <w:r w:rsidRPr="00A41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практической студенческой конференции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52B95" w:rsidRDefault="00F52B95" w:rsidP="00F52B9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Итогом каждой работы являются  рекомендации по сохранению и укреплению здоровья населения, которые могут использовать студенты за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рамками филиала: как  в кругу своих близких и знакомых, так и  в дальнейшей профессиональной деятельности.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Эколого-г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игиеническое воспитание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способствует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потребности здорового образа жизни,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сохранить здоровье, вырастить физически крепкое поколение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подразумевает снижение заболеваемости и смертности населения.</w:t>
      </w:r>
    </w:p>
    <w:p w:rsidR="00F52B95" w:rsidRDefault="00F52B95" w:rsidP="00F52B95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Динамика развития общих компетенций прослеживается в оценке результатов обучения. Ниже приведена сравнительна</w:t>
      </w:r>
      <w:r w:rsidR="00EE0B5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характеристика показателей ОК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11, </w:t>
      </w:r>
      <w:proofErr w:type="gramStart"/>
      <w:r w:rsidRPr="00F83E2C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F83E2C">
        <w:rPr>
          <w:rFonts w:ascii="Times New Roman" w:hAnsi="Times New Roman" w:cs="Times New Roman"/>
          <w:sz w:val="28"/>
          <w:szCs w:val="28"/>
        </w:rPr>
        <w:t xml:space="preserve"> 12</w:t>
      </w:r>
      <w:r>
        <w:rPr>
          <w:rFonts w:ascii="Times New Roman" w:hAnsi="Times New Roman" w:cs="Times New Roman"/>
          <w:sz w:val="28"/>
          <w:szCs w:val="28"/>
        </w:rPr>
        <w:t xml:space="preserve">  у студентов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первого курса за 2017-2018 и 2018-2019</w:t>
      </w:r>
      <w:r w:rsidRPr="00D100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ные</w:t>
      </w:r>
      <w:r w:rsidRPr="00D100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оды,  распределившихся следующим образом. 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рис. 1 представлены результаты 2017-2018 учебного года. На начальном этапе освоения дисциплины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4%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студентов имели низкий уровень развития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proofErr w:type="gramEnd"/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11. (3,0-3,3 балла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 80%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студен</w:t>
      </w:r>
      <w:r w:rsidR="00FB5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 – средний уровень развития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(3,4-3,8 балла) и 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16%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высокий (4,0-4,5 балла). </w:t>
      </w:r>
    </w:p>
    <w:p w:rsidR="00F52B95" w:rsidRDefault="00FB59B6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уровню развития </w:t>
      </w:r>
      <w:proofErr w:type="gramStart"/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proofErr w:type="gramEnd"/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F52B95"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  5%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студентов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имели низкий уровень развития 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(2,7-2,9 балла), </w:t>
      </w:r>
      <w:r w:rsidR="00F52B95"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83% студентов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средний уровень (3,4-3,8 балла)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="00F52B95"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12%</w:t>
      </w:r>
      <w:r w:rsidR="00F52B9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высокий (4,0-4,5 балла). </w:t>
      </w:r>
    </w:p>
    <w:p w:rsidR="00F52B95" w:rsidRDefault="00F52B95" w:rsidP="00F52B95">
      <w:pPr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окончании изучения дисциплины процентное соотношение изменилось. Показатели высо</w:t>
      </w:r>
      <w:r w:rsidR="00FB5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кого уровня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развития общих компетенций составили: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proofErr w:type="gramEnd"/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35% 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30%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</w:t>
      </w:r>
    </w:p>
    <w:p w:rsidR="00F52B95" w:rsidRDefault="00F52B95" w:rsidP="00F52B95">
      <w:pPr>
        <w:spacing w:after="0" w:line="360" w:lineRule="auto"/>
        <w:jc w:val="center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1513BD">
        <w:rPr>
          <w:noProof/>
          <w:color w:val="FF0000"/>
          <w:lang w:eastAsia="ru-RU"/>
        </w:rPr>
        <w:drawing>
          <wp:inline distT="0" distB="0" distL="0" distR="0" wp14:anchorId="478EFFC6" wp14:editId="53F72CBD">
            <wp:extent cx="5295900" cy="23907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Pr="00122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52B95" w:rsidRDefault="00F52B95" w:rsidP="00F52B95">
      <w:pPr>
        <w:spacing w:after="0" w:line="360" w:lineRule="auto"/>
        <w:jc w:val="center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194CFC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Рисунок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1</w:t>
      </w:r>
      <w:r w:rsidRPr="00194CFC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–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показа</w:t>
      </w:r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тели уровня </w:t>
      </w:r>
      <w:proofErr w:type="spellStart"/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>сформированности</w:t>
      </w:r>
      <w:proofErr w:type="spellEnd"/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proofErr w:type="gramStart"/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>ОК</w:t>
      </w:r>
      <w:proofErr w:type="gramEnd"/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11., ОК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12. 2017 - 2018 учеб. год.</w:t>
      </w:r>
    </w:p>
    <w:p w:rsidR="00F52B95" w:rsidRDefault="002D5909" w:rsidP="00F52B95">
      <w:pPr>
        <w:spacing w:after="0" w:line="36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>
        <w:rPr>
          <w:rFonts w:ascii="Times New Roman" w:eastAsia="Calibri" w:hAnsi="Times New Roman" w:cs="Times New Roman"/>
          <w:noProof/>
          <w:spacing w:val="-8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1FC4D2" wp14:editId="74CE5B7E">
                <wp:simplePos x="0" y="0"/>
                <wp:positionH relativeFrom="column">
                  <wp:posOffset>2425065</wp:posOffset>
                </wp:positionH>
                <wp:positionV relativeFrom="paragraph">
                  <wp:posOffset>551180</wp:posOffset>
                </wp:positionV>
                <wp:extent cx="228600" cy="1428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190.95pt;margin-top:43.4pt;width:18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" fillcolor="#9bbb59 [3206]" strokecolor="#4e6128 [1606]" strokeweight="2pt">
                <v:path arrowok="t"/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pacing w:val="-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DCD29" wp14:editId="22B44370">
                <wp:simplePos x="0" y="0"/>
                <wp:positionH relativeFrom="column">
                  <wp:posOffset>2453640</wp:posOffset>
                </wp:positionH>
                <wp:positionV relativeFrom="paragraph">
                  <wp:posOffset>255905</wp:posOffset>
                </wp:positionV>
                <wp:extent cx="200025" cy="1428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93.2pt;margin-top:20.15pt;width:15.7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" fillcolor="#0070c0" strokecolor="#385d8a" strokeweight="2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BD33C" wp14:editId="2733A3CD">
                <wp:simplePos x="0" y="0"/>
                <wp:positionH relativeFrom="column">
                  <wp:posOffset>5425439</wp:posOffset>
                </wp:positionH>
                <wp:positionV relativeFrom="paragraph">
                  <wp:posOffset>255905</wp:posOffset>
                </wp:positionV>
                <wp:extent cx="180975" cy="14287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97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27.2pt;margin-top:20.15pt;width:14.2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" fillcolor="#c0504d [3205]" strokecolor="#622423 [1605]" strokeweight="2pt">
                <v:path arrowok="t"/>
              </v:rect>
            </w:pict>
          </mc:Fallback>
        </mc:AlternateConten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>Примечание: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>11.-1, ОК12.-1 – начальн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ый этап изучения дисциплины; ОК11.-2,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12.-2 – </w:t>
      </w:r>
      <w:r w:rsidR="00F52B95" w:rsidRPr="00D64E5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>конечный этап изучения дисциплины;      - низкий уровень</w:t>
      </w:r>
      <w:r w:rsidR="00C27A18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развития ОК11.,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12.;    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 - средний уровень развития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>11.,ОК12.;       - высокий уровень развития О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К11.,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12.  </w:t>
      </w:r>
    </w:p>
    <w:p w:rsidR="00F52B95" w:rsidRDefault="00F52B95" w:rsidP="00F52B95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рис. 2 представлены результаты 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 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 В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начале изучения дисциплины</w:t>
      </w:r>
      <w:r w:rsidRPr="004836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83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% студентов</w:t>
      </w:r>
      <w:r w:rsidRPr="004836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имели средний уровень развития: </w:t>
      </w:r>
      <w:proofErr w:type="gramStart"/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proofErr w:type="gramEnd"/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(3,4-3,7 балл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), ОК 12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(3,1-3,6 балл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14%  студентов имели высокий уровень развития</w:t>
      </w:r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12%, соответственно, по ОК</w:t>
      </w:r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(4,0-4,5 балла). </w:t>
      </w:r>
    </w:p>
    <w:p w:rsidR="00F52B95" w:rsidRDefault="00F52B95" w:rsidP="00F52B95">
      <w:pPr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итоге высокий уровень развития</w:t>
      </w:r>
      <w:r w:rsidRPr="001926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proofErr w:type="gramEnd"/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продемонстрировали</w:t>
      </w:r>
      <w:r w:rsidRPr="00FF6F4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26%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студентов, ОК</w:t>
      </w:r>
      <w:r w:rsidR="00595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</w:t>
      </w:r>
      <w:r w:rsidR="00EE4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95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 30%,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 соответствует 4,0-4,5 баллам.</w:t>
      </w:r>
    </w:p>
    <w:p w:rsidR="00F52B95" w:rsidRDefault="00F52B95" w:rsidP="00F52B95">
      <w:pPr>
        <w:spacing w:after="0" w:line="360" w:lineRule="auto"/>
        <w:jc w:val="center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1513BD">
        <w:rPr>
          <w:noProof/>
          <w:color w:val="FF0000"/>
          <w:lang w:eastAsia="ru-RU"/>
        </w:rPr>
        <w:drawing>
          <wp:inline distT="0" distB="0" distL="0" distR="0" wp14:anchorId="5261DFF7" wp14:editId="0FD9E3A5">
            <wp:extent cx="5057775" cy="2390775"/>
            <wp:effectExtent l="0" t="0" r="0" b="0"/>
            <wp:docPr id="2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122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52B95" w:rsidRDefault="00F52B95" w:rsidP="00F52B95">
      <w:pPr>
        <w:spacing w:after="0" w:line="360" w:lineRule="auto"/>
        <w:jc w:val="center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194CFC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Рисунок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2</w:t>
      </w:r>
      <w:r w:rsidRPr="00194CFC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–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показа</w:t>
      </w:r>
      <w:r w:rsidR="00595E2D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тели уровня </w:t>
      </w:r>
      <w:proofErr w:type="spellStart"/>
      <w:r w:rsidR="00595E2D">
        <w:rPr>
          <w:rFonts w:ascii="Times New Roman" w:eastAsia="Calibri" w:hAnsi="Times New Roman" w:cs="Times New Roman"/>
          <w:spacing w:val="-8"/>
          <w:sz w:val="24"/>
          <w:szCs w:val="24"/>
        </w:rPr>
        <w:t>сформированности</w:t>
      </w:r>
      <w:proofErr w:type="spellEnd"/>
      <w:r w:rsidR="00595E2D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ОК11, ОК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12. 2018 - 2019 учеб</w:t>
      </w:r>
      <w:proofErr w:type="gramStart"/>
      <w:r>
        <w:rPr>
          <w:rFonts w:ascii="Times New Roman" w:eastAsia="Calibri" w:hAnsi="Times New Roman" w:cs="Times New Roman"/>
          <w:spacing w:val="-8"/>
          <w:sz w:val="24"/>
          <w:szCs w:val="24"/>
        </w:rPr>
        <w:t>.</w:t>
      </w:r>
      <w:proofErr w:type="gramEnd"/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pacing w:val="-8"/>
          <w:sz w:val="24"/>
          <w:szCs w:val="24"/>
        </w:rPr>
        <w:t>г</w:t>
      </w:r>
      <w:proofErr w:type="gramEnd"/>
      <w:r>
        <w:rPr>
          <w:rFonts w:ascii="Times New Roman" w:eastAsia="Calibri" w:hAnsi="Times New Roman" w:cs="Times New Roman"/>
          <w:spacing w:val="-8"/>
          <w:sz w:val="24"/>
          <w:szCs w:val="24"/>
        </w:rPr>
        <w:t>од.</w:t>
      </w:r>
    </w:p>
    <w:p w:rsidR="00F52B95" w:rsidRDefault="00595E2D" w:rsidP="00F52B95">
      <w:pPr>
        <w:spacing w:after="0" w:line="36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</w:rPr>
      </w:pPr>
      <w:r>
        <w:rPr>
          <w:rFonts w:ascii="Times New Roman" w:eastAsia="Calibri" w:hAnsi="Times New Roman" w:cs="Times New Roman"/>
          <w:noProof/>
          <w:spacing w:val="-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BEED83" wp14:editId="48AA9195">
                <wp:simplePos x="0" y="0"/>
                <wp:positionH relativeFrom="column">
                  <wp:posOffset>2072640</wp:posOffset>
                </wp:positionH>
                <wp:positionV relativeFrom="paragraph">
                  <wp:posOffset>550545</wp:posOffset>
                </wp:positionV>
                <wp:extent cx="200025" cy="142875"/>
                <wp:effectExtent l="0" t="0" r="28575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163.2pt;margin-top:43.35pt;width:15.7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" fillcolor="#9bbb59 [3206]" strokecolor="#4e6128 [1606]" strokeweight="2pt">
                <v:path arrowok="t"/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pacing w:val="-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EB9815" wp14:editId="663621E3">
                <wp:simplePos x="0" y="0"/>
                <wp:positionH relativeFrom="column">
                  <wp:posOffset>2444115</wp:posOffset>
                </wp:positionH>
                <wp:positionV relativeFrom="paragraph">
                  <wp:posOffset>283845</wp:posOffset>
                </wp:positionV>
                <wp:extent cx="171450" cy="114300"/>
                <wp:effectExtent l="0" t="0" r="19050" b="1905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1143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192.45pt;margin-top:22.35pt;width:13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" fillcolor="#0070c0" strokecolor="#385d8a" strokeweight="2pt">
                <v:path arrowok="t"/>
              </v:rect>
            </w:pict>
          </mc:Fallback>
        </mc:AlternateContent>
      </w:r>
      <w:r w:rsidRPr="00595E2D">
        <w:rPr>
          <w:rFonts w:ascii="Times New Roman" w:eastAsia="Times New Roman" w:hAnsi="Times New Roman" w:cs="Times New Roman"/>
          <w:bCs/>
          <w:noProof/>
          <w:color w:val="C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DC89A" wp14:editId="07156DB4">
                <wp:simplePos x="0" y="0"/>
                <wp:positionH relativeFrom="column">
                  <wp:posOffset>5339714</wp:posOffset>
                </wp:positionH>
                <wp:positionV relativeFrom="paragraph">
                  <wp:posOffset>283845</wp:posOffset>
                </wp:positionV>
                <wp:extent cx="142875" cy="85725"/>
                <wp:effectExtent l="0" t="0" r="28575" b="28575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857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420.45pt;margin-top:22.35pt;width:11.25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" fillcolor="#c0504d [3205]" strokecolor="#c0504d [3205]" strokeweight="2pt">
                <v:path arrowok="t"/>
              </v:rect>
            </w:pict>
          </mc:Fallback>
        </mc:AlternateConten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Примечание: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>11.-1, ОК12.-1 – начальный этап изучения дисциплины; ОК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>11.-2, О</w:t>
      </w:r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>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12.-2 – </w:t>
      </w:r>
      <w:r w:rsidR="00F52B95" w:rsidRPr="00D64E57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конечный этап изучения дисциплины;  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  - низкий уровень развития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11., ОК.12.;       - средний уровень развития ОК11., </w:t>
      </w:r>
      <w:r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      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ОК12.;     </w:t>
      </w:r>
      <w:r w:rsidR="002D5909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  - высокий уровень развития ОК</w:t>
      </w:r>
      <w:r w:rsidR="00F52B95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11., ОК12.  </w:t>
      </w:r>
    </w:p>
    <w:p w:rsidR="00F52B95" w:rsidRPr="002B0F6C" w:rsidRDefault="00F52B95" w:rsidP="00F52B95">
      <w:pPr>
        <w:tabs>
          <w:tab w:val="left" w:pos="0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ОП.05. Гигиена и экология человека переда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ется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опыт работы</w:t>
      </w:r>
      <w:r w:rsidRPr="006541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молоды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преподавател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ям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направленный  на сохранение и укрепление здоровья студентов и населения в целом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 процессе</w:t>
      </w:r>
      <w:r w:rsidR="00FB59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оценивания результатов работы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начинающие преподаватели 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привл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екаются 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участию в 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создани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публикаций. Например, публикация на тему: «Организация работы преподавателя, направленная на сохранение и укрепление здоровья населения»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2B0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опубликована в сборнике статей XII Международной научно-практической конференции «Воспитание и обучение: теория, методика и практика». </w:t>
      </w:r>
    </w:p>
    <w:p w:rsidR="00F52B95" w:rsidRPr="00A4101A" w:rsidRDefault="00F52B95" w:rsidP="00F52B95">
      <w:pPr>
        <w:tabs>
          <w:tab w:val="left" w:pos="0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Таким образом, представленные формы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эколого-</w:t>
      </w:r>
      <w:r w:rsidRPr="00122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гигиенического воспитани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воплощаются в систему методов,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оздавая необходимые предпосылки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применения их в практической деятельности, способству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цели: «создание условий для формирования здорового образа жизни у граждан» [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4].</w:t>
      </w:r>
    </w:p>
    <w:p w:rsidR="00F52B95" w:rsidRPr="00BF40EE" w:rsidRDefault="00F52B95" w:rsidP="00F52B95">
      <w:pPr>
        <w:tabs>
          <w:tab w:val="left" w:pos="0"/>
        </w:tabs>
        <w:spacing w:before="225" w:after="0" w:line="360" w:lineRule="auto"/>
        <w:ind w:right="-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0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Список литературы</w:t>
      </w:r>
    </w:p>
    <w:p w:rsidR="00F52B95" w:rsidRPr="00351EA9" w:rsidRDefault="00F52B95" w:rsidP="00F52B95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Большаков, А.М. Общая гигиена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1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А.М. Большаков. – Москва: ГЭОТАР - Медиа, 2014. – 432 с.</w:t>
      </w:r>
    </w:p>
    <w:p w:rsidR="00F52B95" w:rsidRPr="0073630C" w:rsidRDefault="00F52B95" w:rsidP="00F52B95">
      <w:pPr>
        <w:numPr>
          <w:ilvl w:val="0"/>
          <w:numId w:val="1"/>
        </w:numPr>
        <w:tabs>
          <w:tab w:val="left" w:pos="0"/>
          <w:tab w:val="left" w:pos="9071"/>
        </w:tabs>
        <w:spacing w:before="225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Крымская, И.Г. Гиг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иена и экология человека </w:t>
      </w:r>
      <w:r w:rsidRPr="00127964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учебное пособие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И.Г. Крымская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Ростов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Феникс, 2018. –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413</w:t>
      </w:r>
      <w:r w:rsidRPr="00A41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</w:t>
      </w:r>
    </w:p>
    <w:p w:rsidR="00F52B95" w:rsidRPr="000B7F2E" w:rsidRDefault="00F52B95" w:rsidP="00F52B95">
      <w:pPr>
        <w:numPr>
          <w:ilvl w:val="0"/>
          <w:numId w:val="1"/>
        </w:numPr>
        <w:tabs>
          <w:tab w:val="left" w:pos="0"/>
          <w:tab w:val="left" w:pos="9071"/>
        </w:tabs>
        <w:spacing w:after="0" w:line="360" w:lineRule="auto"/>
        <w:ind w:right="-1"/>
        <w:contextualSpacing/>
        <w:jc w:val="both"/>
        <w:rPr>
          <w:color w:val="333333"/>
          <w:sz w:val="21"/>
          <w:szCs w:val="21"/>
          <w:shd w:val="clear" w:color="auto" w:fill="FFFFFF"/>
        </w:rPr>
      </w:pPr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Свердловской области от 21.10.2013 № 1267-ПП «Об утверждении государственной программы Свердловской области «Развитие здравоохранения Свердловской области до 2024 года» (в редакции от 26.12.2018 № 960-ПП) [Электронный ресурс]. – Режим доступа: </w:t>
      </w:r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http</w:t>
      </w:r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://minzdrav.midural.ru/</w:t>
      </w:r>
      <w:proofErr w:type="spellStart"/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article</w:t>
      </w:r>
      <w:proofErr w:type="spellEnd"/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/</w:t>
      </w:r>
      <w:proofErr w:type="spellStart"/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show</w:t>
      </w:r>
      <w:proofErr w:type="spellEnd"/>
      <w:r w:rsidRPr="000B7F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/id1191</w:t>
      </w:r>
    </w:p>
    <w:p w:rsidR="00F52B95" w:rsidRDefault="00F52B95" w:rsidP="00F52B95">
      <w:pPr>
        <w:spacing w:after="0" w:line="360" w:lineRule="auto"/>
        <w:jc w:val="center"/>
        <w:rPr>
          <w:rFonts w:ascii="Times New Roman" w:eastAsia="Calibri" w:hAnsi="Times New Roman" w:cs="Times New Roman"/>
          <w:spacing w:val="-8"/>
          <w:sz w:val="24"/>
          <w:szCs w:val="24"/>
        </w:rPr>
      </w:pPr>
      <w:r w:rsidRPr="001227B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F52B95" w:rsidRDefault="00F52B95" w:rsidP="00F52B95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B95" w:rsidRDefault="00F52B95" w:rsidP="00F52B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2F01" w:rsidRPr="00C12C14" w:rsidRDefault="00092F01">
      <w:pPr>
        <w:rPr>
          <w:rFonts w:ascii="Times New Roman" w:hAnsi="Times New Roman" w:cs="Times New Roman"/>
          <w:sz w:val="28"/>
          <w:szCs w:val="28"/>
        </w:rPr>
      </w:pPr>
    </w:p>
    <w:sectPr w:rsidR="00092F01" w:rsidRPr="00C12C14" w:rsidSect="000B7F2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0751"/>
    <w:multiLevelType w:val="hybridMultilevel"/>
    <w:tmpl w:val="65284318"/>
    <w:lvl w:ilvl="0" w:tplc="75A0F0DA">
      <w:start w:val="1"/>
      <w:numFmt w:val="decimal"/>
      <w:lvlText w:val="%1."/>
      <w:lvlJc w:val="left"/>
      <w:pPr>
        <w:ind w:left="5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06D41F9A"/>
    <w:multiLevelType w:val="hybridMultilevel"/>
    <w:tmpl w:val="77FE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A3"/>
    <w:rsid w:val="00063380"/>
    <w:rsid w:val="00092F01"/>
    <w:rsid w:val="000B7F2E"/>
    <w:rsid w:val="002D5909"/>
    <w:rsid w:val="00560DCF"/>
    <w:rsid w:val="00595E2D"/>
    <w:rsid w:val="005C0F14"/>
    <w:rsid w:val="007C58D5"/>
    <w:rsid w:val="00850686"/>
    <w:rsid w:val="00866A9C"/>
    <w:rsid w:val="008C43CD"/>
    <w:rsid w:val="009209F2"/>
    <w:rsid w:val="00AF7B51"/>
    <w:rsid w:val="00B326A3"/>
    <w:rsid w:val="00BE08BF"/>
    <w:rsid w:val="00C12C14"/>
    <w:rsid w:val="00C27A18"/>
    <w:rsid w:val="00C96812"/>
    <w:rsid w:val="00D44CF2"/>
    <w:rsid w:val="00EE0B5A"/>
    <w:rsid w:val="00EE4AB9"/>
    <w:rsid w:val="00F52B95"/>
    <w:rsid w:val="00F56943"/>
    <w:rsid w:val="00FB59B6"/>
    <w:rsid w:val="00FC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B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B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B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2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2B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нинизкий уровень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80</c:v>
                </c:pt>
                <c:pt idx="1">
                  <c:v>63</c:v>
                </c:pt>
                <c:pt idx="2">
                  <c:v>83</c:v>
                </c:pt>
                <c:pt idx="3">
                  <c:v>77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16</c:v>
                </c:pt>
                <c:pt idx="1">
                  <c:v>35</c:v>
                </c:pt>
                <c:pt idx="2">
                  <c:v>12</c:v>
                </c:pt>
                <c:pt idx="3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560448"/>
        <c:axId val="120848384"/>
      </c:barChart>
      <c:catAx>
        <c:axId val="11956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0848384"/>
        <c:crosses val="autoZero"/>
        <c:auto val="1"/>
        <c:lblAlgn val="ctr"/>
        <c:lblOffset val="100"/>
        <c:noMultiLvlLbl val="0"/>
      </c:catAx>
      <c:valAx>
        <c:axId val="120848384"/>
        <c:scaling>
          <c:orientation val="minMax"/>
          <c:max val="100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%</a:t>
                </a:r>
              </a:p>
            </c:rich>
          </c:tx>
          <c:layout>
            <c:manualLayout>
              <c:xMode val="edge"/>
              <c:yMode val="edge"/>
              <c:x val="2.5462962962962975E-2"/>
              <c:y val="0.4280143870905028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9560448"/>
        <c:crosses val="autoZero"/>
        <c:crossBetween val="between"/>
        <c:majorUnit val="10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нинизкий уровень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dLbls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83</c:v>
                </c:pt>
                <c:pt idx="1">
                  <c:v>74</c:v>
                </c:pt>
                <c:pt idx="2">
                  <c:v>83</c:v>
                </c:pt>
                <c:pt idx="3">
                  <c:v>70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ОК.11. - 1</c:v>
                </c:pt>
                <c:pt idx="1">
                  <c:v>ОК.11.  - 2</c:v>
                </c:pt>
                <c:pt idx="2">
                  <c:v>ОК.12. - 1</c:v>
                </c:pt>
                <c:pt idx="3">
                  <c:v>ОК.12. - 2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14</c:v>
                </c:pt>
                <c:pt idx="1">
                  <c:v>26</c:v>
                </c:pt>
                <c:pt idx="2">
                  <c:v>12</c:v>
                </c:pt>
                <c:pt idx="3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537024"/>
        <c:axId val="120910976"/>
      </c:barChart>
      <c:catAx>
        <c:axId val="1195370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0910976"/>
        <c:crosses val="autoZero"/>
        <c:auto val="1"/>
        <c:lblAlgn val="ctr"/>
        <c:lblOffset val="100"/>
        <c:noMultiLvlLbl val="0"/>
      </c:catAx>
      <c:valAx>
        <c:axId val="120910976"/>
        <c:scaling>
          <c:orientation val="minMax"/>
          <c:max val="100"/>
          <c:min val="0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%</a:t>
                </a:r>
              </a:p>
            </c:rich>
          </c:tx>
          <c:layout>
            <c:manualLayout>
              <c:xMode val="edge"/>
              <c:yMode val="edge"/>
              <c:x val="2.5462962962962982E-2"/>
              <c:y val="0.4280143870905029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19537024"/>
        <c:crosses val="autoZero"/>
        <c:crossBetween val="between"/>
        <c:majorUnit val="10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2019-06-17T15:13:00Z</dcterms:created>
  <dcterms:modified xsi:type="dcterms:W3CDTF">2019-06-18T08:56:00Z</dcterms:modified>
</cp:coreProperties>
</file>