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6" w:rsidRDefault="00FC02A6" w:rsidP="00FC02A6">
      <w:pPr>
        <w:pStyle w:val="2"/>
        <w:shd w:val="clear" w:color="auto" w:fill="auto"/>
        <w:spacing w:after="0" w:line="360" w:lineRule="auto"/>
        <w:ind w:left="20" w:right="20" w:firstLine="567"/>
        <w:jc w:val="both"/>
        <w:rPr>
          <w:b/>
        </w:rPr>
      </w:pPr>
      <w:r>
        <w:rPr>
          <w:b/>
        </w:rPr>
        <w:t>Система источников уголовного права</w:t>
      </w:r>
      <w:r w:rsidR="00D66FA6">
        <w:rPr>
          <w:b/>
        </w:rPr>
        <w:t xml:space="preserve"> в Российской Федерации</w:t>
      </w:r>
    </w:p>
    <w:p w:rsidR="00FC02A6" w:rsidRPr="00FC02A6" w:rsidRDefault="00FC02A6" w:rsidP="00FC02A6">
      <w:pPr>
        <w:pStyle w:val="2"/>
        <w:shd w:val="clear" w:color="auto" w:fill="auto"/>
        <w:spacing w:after="0" w:line="360" w:lineRule="auto"/>
        <w:ind w:left="20" w:right="20" w:firstLine="567"/>
        <w:jc w:val="both"/>
        <w:rPr>
          <w:b/>
        </w:rPr>
      </w:pPr>
    </w:p>
    <w:p w:rsidR="00FC02A6" w:rsidRPr="00423803" w:rsidRDefault="00FC02A6" w:rsidP="00FC02A6">
      <w:pPr>
        <w:pStyle w:val="2"/>
        <w:shd w:val="clear" w:color="auto" w:fill="auto"/>
        <w:spacing w:after="0" w:line="360" w:lineRule="auto"/>
        <w:ind w:left="20" w:right="20" w:firstLine="567"/>
        <w:jc w:val="both"/>
      </w:pPr>
      <w:r w:rsidRPr="00423803">
        <w:t xml:space="preserve">В российском уголовном праве долгое время господствовала точка зрения, согласно которой единственным источником уголовного права выступал только Уголовный кодекс, а все остальные источники права (международные договоры, иные законы, судебные прецеденты и т.п.) если и имели право на существование, то только не в отечественной уголовно-правовой системе. В постсоветский период в России произошли определенные преобразования в социальной, экономической и политической сферах жизни общества. В результате сформировалась качественно новая законодательная база, и всё большее число ученых и практиков теперь склоняется к выводу о множественности источников российского уголовного права. На основе </w:t>
      </w:r>
      <w:proofErr w:type="gramStart"/>
      <w:r w:rsidRPr="00423803">
        <w:t>ч</w:t>
      </w:r>
      <w:proofErr w:type="gramEnd"/>
      <w:r w:rsidRPr="00423803">
        <w:t>. 2 ст. 1 Уголовного кодекса Российской Федерации (далее - УК РФ) и положений ч. 4 ст. 15 Конституции Российской Федерации в теории уголовного права наметилась тенденция признания юридическими источниками российского уголовного права международных договоров уголовно-правового характера, имеющих силу для России. Получила развитие и идея о возможности отнесения к числу источников российского уголовного права Конституции России. Более того, в уголовно-правовой литературе появился целый ряд публикаций, в которых обосновывается необходимость признания формальными источниками российского уголовного права постановлений Пленума Верховного Суда Российской Федерации, судебных прецедентов, нормативных правовых актов иных отраслей права, уголовно-правовой доктрины и др.</w:t>
      </w:r>
    </w:p>
    <w:p w:rsidR="00FC02A6" w:rsidRPr="00423803" w:rsidRDefault="00FC02A6" w:rsidP="00FC02A6">
      <w:pPr>
        <w:pStyle w:val="2"/>
        <w:shd w:val="clear" w:color="auto" w:fill="auto"/>
        <w:spacing w:after="0" w:line="360" w:lineRule="auto"/>
        <w:ind w:left="20" w:right="20" w:firstLine="567"/>
        <w:jc w:val="both"/>
      </w:pPr>
      <w:r w:rsidRPr="00423803">
        <w:t xml:space="preserve">Тем не менее, вопрос о юридических источниках российского уголовного права до настоящего времени не получил общепризнанного решения, о чем свидетельствует непрекращающаяся дискуссия относительно юридической природы и уголовно-правового статуса тех или иных правовых актов. Между тем, четкое представление о системе его юридических источников является непременным условием как нормотворческой, так и </w:t>
      </w:r>
      <w:r w:rsidRPr="00423803">
        <w:lastRenderedPageBreak/>
        <w:t xml:space="preserve">правоприменительной деятельности. Формирование неточных подходов к изучению данной проблемы может повлечь серьезные негативные последствия, в том числе возникновение неверного представления о содержании и порядке реализации уголовно-правовых норм. </w:t>
      </w:r>
    </w:p>
    <w:p w:rsidR="00FC02A6" w:rsidRPr="00423803" w:rsidRDefault="00FC02A6" w:rsidP="00FC02A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3803">
        <w:rPr>
          <w:bCs/>
          <w:color w:val="000000"/>
          <w:sz w:val="28"/>
          <w:szCs w:val="28"/>
        </w:rPr>
        <w:t xml:space="preserve">Проблема источников уголовного права не является новой для юридической науки. </w:t>
      </w:r>
      <w:r w:rsidRPr="00423803">
        <w:rPr>
          <w:sz w:val="28"/>
          <w:szCs w:val="28"/>
        </w:rPr>
        <w:t xml:space="preserve">Общетеоретические аспекты источников права разрабатывали такие ученые, как С.С. Алексеев, Н.Л. Гранат, Р. Давид, С.Л. </w:t>
      </w:r>
      <w:proofErr w:type="spellStart"/>
      <w:r w:rsidRPr="00423803">
        <w:rPr>
          <w:sz w:val="28"/>
          <w:szCs w:val="28"/>
        </w:rPr>
        <w:t>Зивс</w:t>
      </w:r>
      <w:proofErr w:type="spellEnd"/>
      <w:r w:rsidRPr="00423803">
        <w:rPr>
          <w:sz w:val="28"/>
          <w:szCs w:val="28"/>
        </w:rPr>
        <w:t xml:space="preserve">, Н.М. Коркунов, В.В. Лазарев, И.И. </w:t>
      </w:r>
      <w:proofErr w:type="spellStart"/>
      <w:r w:rsidRPr="00423803">
        <w:rPr>
          <w:sz w:val="28"/>
          <w:szCs w:val="28"/>
        </w:rPr>
        <w:t>Лукашук</w:t>
      </w:r>
      <w:proofErr w:type="spellEnd"/>
      <w:r w:rsidRPr="00423803">
        <w:rPr>
          <w:sz w:val="28"/>
          <w:szCs w:val="28"/>
        </w:rPr>
        <w:t xml:space="preserve">, Г.И. Муромцев, А. </w:t>
      </w:r>
      <w:proofErr w:type="spellStart"/>
      <w:r w:rsidRPr="00423803">
        <w:rPr>
          <w:sz w:val="28"/>
          <w:szCs w:val="28"/>
        </w:rPr>
        <w:t>Нашиц</w:t>
      </w:r>
      <w:proofErr w:type="spellEnd"/>
      <w:r w:rsidRPr="00423803">
        <w:rPr>
          <w:sz w:val="28"/>
          <w:szCs w:val="28"/>
        </w:rPr>
        <w:t xml:space="preserve">, А.С. </w:t>
      </w:r>
      <w:proofErr w:type="spellStart"/>
      <w:r w:rsidRPr="00423803">
        <w:rPr>
          <w:sz w:val="28"/>
          <w:szCs w:val="28"/>
        </w:rPr>
        <w:t>Пиголкин</w:t>
      </w:r>
      <w:proofErr w:type="spellEnd"/>
      <w:r w:rsidRPr="00423803">
        <w:rPr>
          <w:sz w:val="28"/>
          <w:szCs w:val="28"/>
        </w:rPr>
        <w:t xml:space="preserve">, В.М. Сырых, Л.И. Спиридонов и др. </w:t>
      </w:r>
    </w:p>
    <w:p w:rsidR="00FC02A6" w:rsidRPr="00423803" w:rsidRDefault="00FC02A6" w:rsidP="00FC02A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423803">
        <w:rPr>
          <w:sz w:val="28"/>
          <w:szCs w:val="28"/>
        </w:rPr>
        <w:t xml:space="preserve">Источники российского уголовного права освещали в своих работах О.Н. </w:t>
      </w:r>
      <w:proofErr w:type="spellStart"/>
      <w:r w:rsidRPr="00423803">
        <w:rPr>
          <w:sz w:val="28"/>
          <w:szCs w:val="28"/>
        </w:rPr>
        <w:t>Бибик</w:t>
      </w:r>
      <w:proofErr w:type="spellEnd"/>
      <w:r w:rsidRPr="00423803">
        <w:rPr>
          <w:sz w:val="28"/>
          <w:szCs w:val="28"/>
        </w:rPr>
        <w:t xml:space="preserve">, А.В. Денисова, Н.Д. Дурманов, А.Э. </w:t>
      </w:r>
      <w:proofErr w:type="spellStart"/>
      <w:r w:rsidRPr="00423803">
        <w:rPr>
          <w:sz w:val="28"/>
          <w:szCs w:val="28"/>
        </w:rPr>
        <w:t>Жалинский</w:t>
      </w:r>
      <w:proofErr w:type="spellEnd"/>
      <w:r w:rsidRPr="00423803">
        <w:rPr>
          <w:sz w:val="28"/>
          <w:szCs w:val="28"/>
        </w:rPr>
        <w:t xml:space="preserve">, С.Г. </w:t>
      </w:r>
      <w:proofErr w:type="spellStart"/>
      <w:r w:rsidRPr="00423803">
        <w:rPr>
          <w:sz w:val="28"/>
          <w:szCs w:val="28"/>
        </w:rPr>
        <w:t>Келина</w:t>
      </w:r>
      <w:proofErr w:type="spellEnd"/>
      <w:r w:rsidRPr="00423803">
        <w:rPr>
          <w:sz w:val="28"/>
          <w:szCs w:val="28"/>
        </w:rPr>
        <w:t xml:space="preserve">, А.Г. Кибальник, М.И. Ковалев, В.П. Коняхин, Н.Ф. Кузнецова, А.В. </w:t>
      </w:r>
      <w:proofErr w:type="spellStart"/>
      <w:r w:rsidRPr="00423803">
        <w:rPr>
          <w:sz w:val="28"/>
          <w:szCs w:val="28"/>
        </w:rPr>
        <w:t>Мадьярова</w:t>
      </w:r>
      <w:proofErr w:type="spellEnd"/>
      <w:r w:rsidRPr="00423803">
        <w:rPr>
          <w:sz w:val="28"/>
          <w:szCs w:val="28"/>
        </w:rPr>
        <w:t>, А.В. Наумов, К.В. </w:t>
      </w:r>
      <w:proofErr w:type="spellStart"/>
      <w:r w:rsidRPr="00423803">
        <w:rPr>
          <w:sz w:val="28"/>
          <w:szCs w:val="28"/>
        </w:rPr>
        <w:t>Ображиев</w:t>
      </w:r>
      <w:proofErr w:type="spellEnd"/>
      <w:r w:rsidRPr="00423803">
        <w:rPr>
          <w:sz w:val="28"/>
          <w:szCs w:val="28"/>
        </w:rPr>
        <w:t>, Н.И. </w:t>
      </w:r>
      <w:proofErr w:type="spellStart"/>
      <w:r w:rsidRPr="00423803">
        <w:rPr>
          <w:sz w:val="28"/>
          <w:szCs w:val="28"/>
        </w:rPr>
        <w:t>Пикуров</w:t>
      </w:r>
      <w:proofErr w:type="spellEnd"/>
      <w:r w:rsidRPr="00423803">
        <w:rPr>
          <w:sz w:val="28"/>
          <w:szCs w:val="28"/>
        </w:rPr>
        <w:t xml:space="preserve">, С.С. </w:t>
      </w:r>
      <w:proofErr w:type="spellStart"/>
      <w:r w:rsidRPr="00423803">
        <w:rPr>
          <w:sz w:val="28"/>
          <w:szCs w:val="28"/>
        </w:rPr>
        <w:t>Пирвагидов</w:t>
      </w:r>
      <w:proofErr w:type="spellEnd"/>
      <w:r w:rsidRPr="00423803">
        <w:rPr>
          <w:sz w:val="28"/>
          <w:szCs w:val="28"/>
        </w:rPr>
        <w:t xml:space="preserve">, Ю.Е. </w:t>
      </w:r>
      <w:proofErr w:type="spellStart"/>
      <w:r w:rsidRPr="00423803">
        <w:rPr>
          <w:sz w:val="28"/>
          <w:szCs w:val="28"/>
        </w:rPr>
        <w:t>Пудовочкин</w:t>
      </w:r>
      <w:proofErr w:type="spellEnd"/>
      <w:r w:rsidRPr="00423803">
        <w:rPr>
          <w:sz w:val="28"/>
          <w:szCs w:val="28"/>
        </w:rPr>
        <w:t xml:space="preserve">, А.И. </w:t>
      </w:r>
      <w:proofErr w:type="spellStart"/>
      <w:r w:rsidRPr="00423803">
        <w:rPr>
          <w:sz w:val="28"/>
          <w:szCs w:val="28"/>
        </w:rPr>
        <w:t>Рарог</w:t>
      </w:r>
      <w:proofErr w:type="spellEnd"/>
      <w:r w:rsidRPr="00423803">
        <w:rPr>
          <w:sz w:val="28"/>
          <w:szCs w:val="28"/>
        </w:rPr>
        <w:t xml:space="preserve">, Ю.В. </w:t>
      </w:r>
      <w:proofErr w:type="spellStart"/>
      <w:r w:rsidRPr="00423803">
        <w:rPr>
          <w:sz w:val="28"/>
          <w:szCs w:val="28"/>
        </w:rPr>
        <w:t>Трунцевский</w:t>
      </w:r>
      <w:proofErr w:type="spellEnd"/>
      <w:r w:rsidRPr="00423803">
        <w:rPr>
          <w:sz w:val="28"/>
          <w:szCs w:val="28"/>
        </w:rPr>
        <w:t>, М.</w:t>
      </w:r>
      <w:proofErr w:type="gramEnd"/>
      <w:r w:rsidRPr="00423803">
        <w:rPr>
          <w:sz w:val="28"/>
          <w:szCs w:val="28"/>
        </w:rPr>
        <w:t xml:space="preserve">Д. Шаргородский, Б.В. </w:t>
      </w:r>
      <w:proofErr w:type="spellStart"/>
      <w:r w:rsidRPr="00423803">
        <w:rPr>
          <w:sz w:val="28"/>
          <w:szCs w:val="28"/>
        </w:rPr>
        <w:t>Яцеленко</w:t>
      </w:r>
      <w:proofErr w:type="spellEnd"/>
      <w:r w:rsidRPr="00423803">
        <w:rPr>
          <w:sz w:val="28"/>
          <w:szCs w:val="28"/>
        </w:rPr>
        <w:t xml:space="preserve"> и некоторые другие авторы. </w:t>
      </w:r>
    </w:p>
    <w:p w:rsidR="00FC02A6" w:rsidRPr="00423803" w:rsidRDefault="00FC02A6" w:rsidP="00FC02A6">
      <w:pPr>
        <w:pStyle w:val="a4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423803">
        <w:rPr>
          <w:sz w:val="28"/>
          <w:szCs w:val="28"/>
        </w:rPr>
        <w:t>Тем не менее, продолжается дискуссия относительно уголовно-правового статуса нормативных актов иных отраслей права, судебных решений и т.д. Не получила должной теоретической разработки и проблема определения формальных источников уголовного права. Таким образом, до настоящего времени не выработано целостное представление о системе источников российского уголовного права.</w:t>
      </w:r>
    </w:p>
    <w:p w:rsidR="008E0B5A" w:rsidRDefault="00FC02A6" w:rsidP="00FC02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02A6">
        <w:rPr>
          <w:rFonts w:ascii="Times New Roman" w:eastAsia="Calibri" w:hAnsi="Times New Roman" w:cs="Times New Roman"/>
          <w:sz w:val="28"/>
          <w:szCs w:val="28"/>
        </w:rPr>
        <w:t>сточник права как понятие предполагает единство его формального и содержательного аспектов. В связи с этим важно наличие у источника права не только определенной формы, но и соответствующего содержания, т.е. собственно нормы права. Таким образом, формальные источники права</w:t>
      </w:r>
      <w:r w:rsidRPr="00FC02A6">
        <w:rPr>
          <w:rStyle w:val="6"/>
          <w:rFonts w:eastAsia="Courier New"/>
          <w:i w:val="0"/>
          <w:sz w:val="28"/>
          <w:szCs w:val="28"/>
        </w:rPr>
        <w:t xml:space="preserve"> — </w:t>
      </w:r>
      <w:r w:rsidRPr="00FC02A6">
        <w:rPr>
          <w:rFonts w:ascii="Times New Roman" w:eastAsia="Calibri" w:hAnsi="Times New Roman" w:cs="Times New Roman"/>
          <w:sz w:val="28"/>
          <w:szCs w:val="28"/>
        </w:rPr>
        <w:t>это внешние формы выражения правовых норм, придающие им нормативный, общеобязательный характер и определяющие степень их юридической силы.</w:t>
      </w:r>
    </w:p>
    <w:p w:rsidR="00FC02A6" w:rsidRPr="00423803" w:rsidRDefault="00FC02A6" w:rsidP="00FC02A6">
      <w:pPr>
        <w:pStyle w:val="2"/>
        <w:shd w:val="clear" w:color="auto" w:fill="auto"/>
        <w:spacing w:after="0" w:line="360" w:lineRule="auto"/>
        <w:ind w:left="20" w:right="20" w:firstLine="567"/>
        <w:jc w:val="both"/>
      </w:pPr>
      <w:r w:rsidRPr="00423803">
        <w:t xml:space="preserve">Поскольку содержанием юридического источника уголовного права являются уголовно-правовые нормы, на первый план при решении вопроса о </w:t>
      </w:r>
      <w:r w:rsidRPr="00423803">
        <w:lastRenderedPageBreak/>
        <w:t>том, является ли правовой акт источником данной отрасли, выходят:</w:t>
      </w:r>
    </w:p>
    <w:p w:rsidR="00FC02A6" w:rsidRPr="00423803" w:rsidRDefault="00FC02A6" w:rsidP="00FC02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803">
        <w:rPr>
          <w:rFonts w:ascii="Times New Roman" w:eastAsia="Calibri" w:hAnsi="Times New Roman" w:cs="Times New Roman"/>
          <w:sz w:val="28"/>
          <w:szCs w:val="28"/>
        </w:rPr>
        <w:t>1) предмет правового регулирования фактически содержащихся в нем юридических норм. И если правовой акт содержит правовые нормы, регулирующие уголовно-правовые отношения, то его следует считать одним из формальных источников уголовного права, вне зависимости от его места в отраслевом делении.</w:t>
      </w:r>
    </w:p>
    <w:p w:rsidR="00FC02A6" w:rsidRPr="00423803" w:rsidRDefault="00FC02A6" w:rsidP="00FC02A6">
      <w:pPr>
        <w:pStyle w:val="2"/>
        <w:shd w:val="clear" w:color="auto" w:fill="auto"/>
        <w:tabs>
          <w:tab w:val="left" w:pos="970"/>
        </w:tabs>
        <w:spacing w:after="0" w:line="360" w:lineRule="auto"/>
        <w:ind w:right="20" w:firstLine="567"/>
        <w:jc w:val="both"/>
      </w:pPr>
      <w:r w:rsidRPr="00423803">
        <w:t>2) структура уголовно-правовых норм, в состав которых помимо собственно уголовно-правовых предписаний могут входить нормативные предписания, расположенные за пределами уголовного закона. Поэтому юридическим источником уголовно-правовой нормы, сформулированной бланкетным способом, следует признать не только УК РФ, но и правовой акт (закон, подзаконный акт, международный договор), в котором зафиксирована бланкетная часть уголовно-правовой нормы.</w:t>
      </w:r>
    </w:p>
    <w:p w:rsidR="00FC02A6" w:rsidRPr="00423803" w:rsidRDefault="00FC02A6" w:rsidP="00FC02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423803">
        <w:rPr>
          <w:rStyle w:val="6"/>
          <w:rFonts w:eastAsia="Calibri"/>
          <w:i w:val="0"/>
          <w:sz w:val="28"/>
          <w:szCs w:val="28"/>
        </w:rPr>
        <w:t xml:space="preserve">Таким образом, </w:t>
      </w:r>
      <w:r w:rsidRPr="00423803">
        <w:rPr>
          <w:rFonts w:ascii="Times New Roman" w:eastAsia="Calibri" w:hAnsi="Times New Roman" w:cs="Times New Roman"/>
          <w:sz w:val="28"/>
          <w:szCs w:val="28"/>
        </w:rPr>
        <w:t>формальные источники уголовного права определены как внешние формы выражения уголовно-правовых норм, то есть правовые акты, содержащие уголовно-правовые нормы или нормативные предписания, входящие в состав уголовно-правовых норм. Если правовой акт содержит нормы, регулирующие уголовно-правовые отношения, то его следует считать одним из формальных источников уголовного права, вне зависимости от того, относится ли он к уголовному законодательству или нет. И если правовой акт содержит нормативные предписания, выступающие в качестве составной части уголовно-правовой нормы, то он тоже относится к одному из юридических источников соответствующей уголовно-правовой нормы и уголовного права в целом.</w:t>
      </w:r>
    </w:p>
    <w:p w:rsidR="00FC02A6" w:rsidRPr="00423803" w:rsidRDefault="00FC02A6" w:rsidP="00FC02A6">
      <w:pPr>
        <w:pStyle w:val="2"/>
        <w:spacing w:after="0" w:line="360" w:lineRule="auto"/>
        <w:ind w:firstLine="567"/>
        <w:jc w:val="both"/>
      </w:pPr>
      <w:r w:rsidRPr="00423803">
        <w:t xml:space="preserve">Система источников уголовного права должна строиться последовательно на основе </w:t>
      </w:r>
      <w:r w:rsidRPr="00423803">
        <w:rPr>
          <w:rStyle w:val="a5"/>
          <w:i w:val="0"/>
        </w:rPr>
        <w:t>предметного, иерархического, логического и функционального принципов</w:t>
      </w:r>
      <w:r w:rsidRPr="00423803">
        <w:t xml:space="preserve">. </w:t>
      </w:r>
      <w:r w:rsidRPr="00423803">
        <w:rPr>
          <w:rStyle w:val="a5"/>
          <w:i w:val="0"/>
        </w:rPr>
        <w:t>Предметный принцип</w:t>
      </w:r>
      <w:r w:rsidRPr="00423803">
        <w:t xml:space="preserve"> отражает значимость отраслевого предмета правового регулирования. Согласно </w:t>
      </w:r>
      <w:r w:rsidRPr="00423803">
        <w:rPr>
          <w:rStyle w:val="a5"/>
          <w:i w:val="0"/>
        </w:rPr>
        <w:t>иерархическому принципу</w:t>
      </w:r>
      <w:r w:rsidRPr="00423803">
        <w:t xml:space="preserve"> источники уголовного права должны располагаться в системе в соответствии с их юридической силой, начиная от </w:t>
      </w:r>
      <w:proofErr w:type="gramStart"/>
      <w:r w:rsidRPr="00423803">
        <w:t>имеющих</w:t>
      </w:r>
      <w:proofErr w:type="gramEnd"/>
      <w:r w:rsidRPr="00423803">
        <w:t xml:space="preserve"> большую </w:t>
      </w:r>
      <w:r w:rsidRPr="00423803">
        <w:lastRenderedPageBreak/>
        <w:t xml:space="preserve">юридическую силу к имеющим меньшую юридическую силу. </w:t>
      </w:r>
      <w:r w:rsidRPr="00423803">
        <w:rPr>
          <w:rStyle w:val="a5"/>
          <w:i w:val="0"/>
        </w:rPr>
        <w:t>Логический принцип</w:t>
      </w:r>
      <w:r w:rsidRPr="00423803">
        <w:t xml:space="preserve"> подразумевает, что источники уголовного права в системе располагаются по степени абстрактности содержащихся в них норм, начиная от более общих, абстрактных к менее </w:t>
      </w:r>
      <w:proofErr w:type="gramStart"/>
      <w:r w:rsidRPr="00423803">
        <w:t>абстрактным</w:t>
      </w:r>
      <w:proofErr w:type="gramEnd"/>
      <w:r w:rsidRPr="00423803">
        <w:t xml:space="preserve">, казуистичным. </w:t>
      </w:r>
      <w:r w:rsidRPr="00423803">
        <w:rPr>
          <w:rStyle w:val="a5"/>
          <w:i w:val="0"/>
        </w:rPr>
        <w:t>Функциональный принцип</w:t>
      </w:r>
      <w:r w:rsidRPr="00423803">
        <w:t xml:space="preserve"> предусматривает, что каждый источник в силу своего специфического содержания в системе осуществляет определенную функцию. </w:t>
      </w:r>
    </w:p>
    <w:p w:rsidR="00FC02A6" w:rsidRPr="00423803" w:rsidRDefault="00FC02A6" w:rsidP="00FC02A6">
      <w:pPr>
        <w:pStyle w:val="2"/>
        <w:spacing w:after="0" w:line="360" w:lineRule="auto"/>
        <w:ind w:firstLine="567"/>
        <w:jc w:val="both"/>
      </w:pPr>
      <w:proofErr w:type="gramStart"/>
      <w:r w:rsidRPr="00423803">
        <w:t xml:space="preserve">На основании вышеизложенного система источников уголовного права может быть представлена следующим образом: </w:t>
      </w:r>
      <w:proofErr w:type="gramEnd"/>
    </w:p>
    <w:p w:rsidR="00FC02A6" w:rsidRPr="00423803" w:rsidRDefault="00FC02A6" w:rsidP="00FC02A6">
      <w:pPr>
        <w:pStyle w:val="2"/>
        <w:numPr>
          <w:ilvl w:val="0"/>
          <w:numId w:val="1"/>
        </w:numPr>
        <w:spacing w:after="0" w:line="360" w:lineRule="auto"/>
        <w:ind w:left="0" w:firstLine="567"/>
        <w:jc w:val="both"/>
        <w:rPr>
          <w:color w:val="000000"/>
        </w:rPr>
      </w:pPr>
      <w:r w:rsidRPr="00423803">
        <w:rPr>
          <w:color w:val="000000"/>
        </w:rPr>
        <w:t xml:space="preserve">Конституция Российской Федерации, </w:t>
      </w:r>
    </w:p>
    <w:p w:rsidR="00FC02A6" w:rsidRPr="00423803" w:rsidRDefault="00FC02A6" w:rsidP="00FC02A6">
      <w:pPr>
        <w:pStyle w:val="2"/>
        <w:numPr>
          <w:ilvl w:val="0"/>
          <w:numId w:val="1"/>
        </w:numPr>
        <w:spacing w:after="0" w:line="360" w:lineRule="auto"/>
        <w:ind w:left="0" w:firstLine="567"/>
        <w:jc w:val="both"/>
        <w:rPr>
          <w:color w:val="000000"/>
        </w:rPr>
      </w:pPr>
      <w:r w:rsidRPr="00423803">
        <w:rPr>
          <w:color w:val="000000"/>
        </w:rPr>
        <w:t xml:space="preserve">международные договоры, </w:t>
      </w:r>
    </w:p>
    <w:p w:rsidR="00FC02A6" w:rsidRPr="00423803" w:rsidRDefault="00FC02A6" w:rsidP="00FC02A6">
      <w:pPr>
        <w:pStyle w:val="2"/>
        <w:numPr>
          <w:ilvl w:val="0"/>
          <w:numId w:val="1"/>
        </w:numPr>
        <w:spacing w:after="0" w:line="360" w:lineRule="auto"/>
        <w:ind w:left="0" w:firstLine="567"/>
        <w:jc w:val="both"/>
      </w:pPr>
      <w:r w:rsidRPr="00423803">
        <w:t xml:space="preserve">уголовное законодательство, </w:t>
      </w:r>
    </w:p>
    <w:p w:rsidR="00FC02A6" w:rsidRPr="00423803" w:rsidRDefault="00FC02A6" w:rsidP="00FC02A6">
      <w:pPr>
        <w:pStyle w:val="2"/>
        <w:numPr>
          <w:ilvl w:val="0"/>
          <w:numId w:val="1"/>
        </w:numPr>
        <w:spacing w:after="0" w:line="360" w:lineRule="auto"/>
        <w:ind w:left="0" w:firstLine="567"/>
        <w:jc w:val="both"/>
        <w:rPr>
          <w:color w:val="000000"/>
        </w:rPr>
      </w:pPr>
      <w:r w:rsidRPr="00423803">
        <w:rPr>
          <w:color w:val="000000"/>
        </w:rPr>
        <w:t xml:space="preserve">акты иного отраслевого законодательства, </w:t>
      </w:r>
    </w:p>
    <w:p w:rsidR="00FC02A6" w:rsidRPr="00423803" w:rsidRDefault="00FC02A6" w:rsidP="00FC02A6">
      <w:pPr>
        <w:pStyle w:val="2"/>
        <w:numPr>
          <w:ilvl w:val="0"/>
          <w:numId w:val="1"/>
        </w:numPr>
        <w:spacing w:after="0" w:line="360" w:lineRule="auto"/>
        <w:ind w:left="0" w:firstLine="567"/>
        <w:jc w:val="both"/>
      </w:pPr>
      <w:r w:rsidRPr="00423803">
        <w:rPr>
          <w:color w:val="000000"/>
        </w:rPr>
        <w:t>судебные решения.</w:t>
      </w:r>
    </w:p>
    <w:p w:rsidR="00FC02A6" w:rsidRPr="00FC02A6" w:rsidRDefault="00FC02A6" w:rsidP="00FC02A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FC02A6" w:rsidRPr="00FC02A6" w:rsidSect="008E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29D0"/>
    <w:multiLevelType w:val="hybridMultilevel"/>
    <w:tmpl w:val="AB684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2A6"/>
    <w:rsid w:val="008E0B5A"/>
    <w:rsid w:val="00A20EE0"/>
    <w:rsid w:val="00D66FA6"/>
    <w:rsid w:val="00FC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C02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C02A6"/>
    <w:pPr>
      <w:widowControl w:val="0"/>
      <w:shd w:val="clear" w:color="auto" w:fill="FFFFFF"/>
      <w:spacing w:after="26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C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2A6"/>
  </w:style>
  <w:style w:type="character" w:customStyle="1" w:styleId="6">
    <w:name w:val="Основной текст (6) + Не курсив"/>
    <w:rsid w:val="00FC02A6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rsid w:val="00FC0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2</cp:revision>
  <dcterms:created xsi:type="dcterms:W3CDTF">2020-09-24T10:59:00Z</dcterms:created>
  <dcterms:modified xsi:type="dcterms:W3CDTF">2020-09-24T11:09:00Z</dcterms:modified>
</cp:coreProperties>
</file>