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Инновационная деятельность в учреждении дополнительного образования детей</w:t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9F504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Инновационная деятельность в учреждении дополнительного образования детей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Инновационные процессы реализуются сегодня практически во всех сферах человеческой деятельности. Нововведение в учреждениях дополнительного образования являются достаточно важным и необходимым механизмом творческой деятельности, который отличает одно образовательное учреждение от другого. Именно поэтому одним из направлений деятельности муниципального бюджетного образовательного учреждения дополнительного об</w:t>
      </w:r>
      <w:r w:rsidR="009F50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разования детей 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является результативная инновационная деятельность, как процесс освоения тех составляющих, которые позволяют добиваться качественно новых результатов и становиться все более привлекательными и необходимыми для детей и их родителей.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Бесспорно, педагог занимает ключевую позицию в образовательном процессе: от его квалификации, профессионализма, личных качеств зависит эффективность решения многих проблем в учреждении.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Новые веяния времени требуют от педагога дополнительного образования постоянной активной позиции и выхода за рамки своего узкого мирка преподавания в конкретном детском объедении.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для педагога, работающего в традиционной системе, главными были специальные и методические знания, достаточно было владеть педагогической техникой, иметь педагогическое мастерство, позволяющие ему осуществлять образовательный процесс на профессиональном уровне и добиваться его высокой эффективности, то для перехода в инновационный режим определяющим является готовность педагога к инновациям и приоритетными становятся знания теоретические (знание современных психолого-педагогических концепций), методологические (знание общих принципов изучения педагогических явлений, закономерностей социализации обучения и воспитания) и технологические (знание не только традиционных, но и инновационных образовательных технологий).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Современный педагог – это педагог не только, передающий знания в аудитории (что естественно немаловажно, но очень узко на данный момент). Профессиональная деятельность педагога неполноценна, если она строится только как воспроизводство однажды усвоенных методов работы, если в ней не реализуются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 - мастера. На сегодняшний день реалии таковы, что необходимо постоянно расти в профессиональном плане. Такие же требования предъявляет к педагогу и новая форма аттестации.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Особую значение в процессе профессионального самосовершенствования педагога имеет его </w:t>
      </w:r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инновационная деятельность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Инновационная деятельность – целенаправленная деятельность, основанная на осмыслении (рефлексии) своего собственного практического опыта при помощи сравнения и изучения, изменения и развития образовательного процесса с целью достижения более высоких результатов, получения нового знания, качественно иной педагогической практики. 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связи с этим становление готовности педагога к ней является важнейшим условием его профессионального развития.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Инновационная деятельность педагога зависит: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</w:t>
      </w:r>
      <w:proofErr w:type="gramEnd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уровня </w:t>
      </w:r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личностной готовности педагога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 этой деятельности, совокупности качеств педагога, определяющих его направленность на совершенствование собственной педагогической деятельности:</w:t>
      </w:r>
    </w:p>
    <w:p w:rsidR="00C66A58" w:rsidRPr="00C66A58" w:rsidRDefault="00C66A58" w:rsidP="00C66A5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личностных</w:t>
      </w:r>
      <w:proofErr w:type="gramEnd"/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(работоспособность, готовность к творчеству, высокий эмоциональный статус);</w:t>
      </w:r>
    </w:p>
    <w:p w:rsidR="00C66A58" w:rsidRPr="00C66A58" w:rsidRDefault="00C66A58" w:rsidP="00C66A5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специальных</w:t>
      </w:r>
      <w:proofErr w:type="gramEnd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(знание новых технологий, овладение новыми методами обучения, умение анализировать и выявлять причины недостатков, находить актуальные проблемы образования и реализовывать эффективные способы их решения).</w:t>
      </w:r>
    </w:p>
    <w:p w:rsidR="00C66A58" w:rsidRPr="00C66A58" w:rsidRDefault="00C66A58" w:rsidP="00C66A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существующих</w:t>
      </w:r>
      <w:proofErr w:type="gramEnd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конкретном </w:t>
      </w:r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образовательном учреждении условий:</w:t>
      </w:r>
    </w:p>
    <w:p w:rsidR="00C66A58" w:rsidRPr="00C66A58" w:rsidRDefault="00C66A58" w:rsidP="00C66A5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финансовая</w:t>
      </w:r>
      <w:proofErr w:type="gramEnd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заинтересованность: доплаты, премии;</w:t>
      </w:r>
    </w:p>
    <w:p w:rsidR="00C66A58" w:rsidRPr="00C66A58" w:rsidRDefault="00C66A58" w:rsidP="00C66A5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благоприятный</w:t>
      </w:r>
      <w:proofErr w:type="gramEnd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морально-психологический микроклимат и творческая атмосфера;</w:t>
      </w:r>
    </w:p>
    <w:p w:rsidR="00C66A58" w:rsidRPr="00C66A58" w:rsidRDefault="00C66A58" w:rsidP="00C66A5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помощь</w:t>
      </w:r>
      <w:proofErr w:type="gramEnd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получении информации об инновационных технологиях;</w:t>
      </w:r>
    </w:p>
    <w:p w:rsidR="00C66A58" w:rsidRPr="00C66A58" w:rsidRDefault="00C66A58" w:rsidP="00C66A5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содействие</w:t>
      </w:r>
      <w:proofErr w:type="gramEnd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администрации учреждения отношениям сотрудничества педагога с обучающимися и коллегами</w:t>
      </w:r>
    </w:p>
    <w:p w:rsidR="00C66A58" w:rsidRPr="00C66A58" w:rsidRDefault="00C66A58" w:rsidP="00C66A5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правильный</w:t>
      </w:r>
      <w:proofErr w:type="gramEnd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отбор наиболее значимых стимулов в соответствии со спецификой их взаимосвязи и с учетом влияния барьеров.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ит</w:t>
      </w:r>
      <w:r w:rsidR="009F50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огам проведенного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тестирования "</w:t>
      </w: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Инновационная деятельность педагога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 выявлено, что одни педагоги склонны к принятию инноваций, другие - более консервативны. Отношение к но</w:t>
      </w:r>
      <w:r w:rsidR="009F50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ваторству среди педагогов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выглядит следующим образом:</w:t>
      </w:r>
    </w:p>
    <w:p w:rsidR="00C66A58" w:rsidRPr="00C66A58" w:rsidRDefault="00C66A58" w:rsidP="00C66A5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желающие</w:t>
      </w:r>
      <w:proofErr w:type="gramEnd"/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работать в инновационном режиме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(новаторы) - составляют 3,2 % коллектива, они всегда открыты новому, активны;</w:t>
      </w:r>
    </w:p>
    <w:p w:rsidR="00C66A58" w:rsidRPr="00C66A58" w:rsidRDefault="00C66A58" w:rsidP="00C66A5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поддерживающие</w:t>
      </w:r>
      <w:proofErr w:type="gramEnd"/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инновации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(передовики) - 34,7 % в роли лидеров выступают редко, для принятия решения им требуется значительно больше времени, чем лидирующим группам,</w:t>
      </w:r>
    </w:p>
    <w:p w:rsidR="00C66A58" w:rsidRPr="00C66A58" w:rsidRDefault="00C66A58" w:rsidP="00C66A5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умеренные</w:t>
      </w:r>
      <w:proofErr w:type="gramEnd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- 15,7 %, приступают к освоению новшеств иногда под давлением социальной среды, иногда в результате оценки собственных потребностей, но при одном условии: когда ощущают поддержку коллектива,</w:t>
      </w:r>
    </w:p>
    <w:p w:rsidR="00C66A58" w:rsidRPr="00C66A58" w:rsidRDefault="00C66A58" w:rsidP="00C66A5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сдержано</w:t>
      </w:r>
      <w:proofErr w:type="gramEnd"/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относящиеся к инновациям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около 47 % ориентируются на традиционные ценности, решение о приятии новшества принимают с большим трудом.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Негативно влияют на инновационную деятельность педагога следующие факторы:</w:t>
      </w:r>
    </w:p>
    <w:p w:rsidR="00C66A58" w:rsidRPr="00C66A58" w:rsidRDefault="00C66A58" w:rsidP="00C66A5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низкий</w:t>
      </w:r>
      <w:proofErr w:type="gramEnd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уровень заработной платы (98 % респондентов);</w:t>
      </w:r>
    </w:p>
    <w:p w:rsidR="00C66A58" w:rsidRPr="00C66A58" w:rsidRDefault="00C66A58" w:rsidP="00C66A5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формальные</w:t>
      </w:r>
      <w:proofErr w:type="gramEnd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требования и часто необъективная оценка со стороны администрации (28 % респондентов);</w:t>
      </w:r>
    </w:p>
    <w:p w:rsidR="00C66A58" w:rsidRPr="00C66A58" w:rsidRDefault="00C66A58" w:rsidP="00C66A5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недостаточная</w:t>
      </w:r>
      <w:proofErr w:type="gramEnd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учебно-материальная база (73 % респондентов);</w:t>
      </w:r>
    </w:p>
    <w:p w:rsidR="00C66A58" w:rsidRPr="00C66A58" w:rsidRDefault="00C66A58" w:rsidP="00C66A5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недостаточная</w:t>
      </w:r>
      <w:proofErr w:type="gramEnd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информации об интересующих педагога инновационных технологиях (98 % респондентов);    </w:t>
      </w:r>
    </w:p>
    <w:p w:rsidR="00C66A58" w:rsidRPr="00C66A58" w:rsidRDefault="00C66A58" w:rsidP="00C66A5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неярко</w:t>
      </w:r>
      <w:proofErr w:type="gramEnd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выраженное у обучающихся желание учиться (98 % респондентов).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Такие факторы сдерживают стремления к участию в инновационной деятельности, к профессионально-творческой свободе.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 сути своей новизна всегда относительна. Новшество не обязательно является чем-то новым, но обязательно чем–то лучшим и может быть продемонстрировано само по себе.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Инновации педагога учреждения могут быть представлены в виде: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абсолютной новизны (отсутствие в данной сфере аналогов и прототипов),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относительной новизны (внесение некоторых изменений в имеющуюся практику).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Источником инновационных идей педагога может служить: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неожиданное для самого педагога событие (успех, провал, как толчок к развитию деятельности);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различные несоответствия (между истинными мотивами поведения детей, их запросами, желаниями и практическими действиями педагога);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потребности педагогического процесса (слабые места в методике, поиск новых идей);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изменениями в ценностях и установках детей (влечет за собой поиск новых форм общения и профессионального поведения) и т. д.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Содержание инновационной деятельности педагога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Внедрение, использование новых методов, методик, средств, технологий в образовательном процессе.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Разработка авторских программ, методик, технологий, проектов, методической продукции.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Проведение учебных занятий в инновационных формах.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Проведение мастер – классов на муниципальном уровне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Участие в проектно-исследовательской или опытно-экспериментальной деятельности.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осуществления инновационной деятельности педагог может работать </w:t>
      </w: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единолично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или </w:t>
      </w: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педагоги могут объединяться в группы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МО по определенной теме или направлению деятельности;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проблемные (творческие) группы, в которых педагоги разных направлений объединяются для определенных задач по организации и осуществлению образовательного процесса.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же может педагог позиционировать себя, заявить на реализацию инновационной деятельности. В центре существует определенный алгоритм действий педагога.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Порядок организации и проведения инновационной деятельности педагога предполагает: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</w:t>
      </w:r>
      <w:r w:rsidRPr="00C66A5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выбор темы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инновационной деятельности с учетом возрастных особенностей обучающихся и в со</w:t>
      </w:r>
      <w:r w:rsidR="009F50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ответствии с цель </w:t>
      </w:r>
      <w:bookmarkStart w:id="0" w:name="_GoBack"/>
      <w:bookmarkEnd w:id="0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она же может стать и темой самообразования педагога);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</w:t>
      </w:r>
      <w:r w:rsidRPr="00C66A5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заполнение информационной карты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инновационной деятельности (приложение);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-стартовая </w:t>
      </w:r>
      <w:r w:rsidRPr="00C66A5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экспертная оценка инновации, заявленной педагогом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-р</w:t>
      </w:r>
      <w:r w:rsidRPr="00C66A5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азработка проекта (программы, плана)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инновационной дея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тельности: цель исследования, задачи, предмет, новизна, практическая значимость, актуальность, критерии оценки, формы контроля и диагностики, основные этапы работы, длитель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ность, предполагаемый результат. Педагог, изъявивший желание работать по соб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ственной авторской программе, предоставляет в МС документ о внешней экспертизе программы;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</w:t>
      </w:r>
      <w:r w:rsidRPr="00C66A5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осуществление инновационной деятельности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(реализация инновационного </w:t>
      </w: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проекта (программы)</w:t>
      </w:r>
      <w:r w:rsidRPr="00C66A5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;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- отчет о реализации инновации.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Предусматриваются разнообразные формы ознакомления с ходом, способами и результатами инновационной деятельности: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"</w:t>
      </w: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Творческие отчеты"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позволяют оценить общую результативность инновационной деятельности, увидеть отличия, которые приносит с собою инновация в жизнь коллектива, учащихся, их родителей.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</w:t>
      </w: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Открытые мероприятия"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позволяют непосредственно познакомиться с творческой деятельностью педагога.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</w:t>
      </w: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Методические выставки"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позволяют знакомиться с новыми наработками педагогов коллектива, предлагают материалы, которые могут использовать педагоги, осваивающие какую-либо инновацию.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</w:t>
      </w: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Тематические консультации"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позволяют другим заинтересованным педагогам образовательных учреждений получать дополнительную информацию по различным инновациям.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"Проблемные семинары"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представляют особый интерес для тех, кто в процессе освоения инновации уже почувствовал потребность в более глубокой теоретической подготовке.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"Свободное посещение занятий" 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педагога, реализующего инновацию;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 внедрение инновации (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распространение созданного инновационным путем опыта, новой практики).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1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Инструкция по заполнению информационной карты</w:t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"Характеристика инноваций и нововведений"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Лучше всего карту заполнять в начале учебного года.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Проблема.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Необходимо продумать, какие противоречия в практике воспитания заставляют отказаться от традиционного пути и начать поиск нового, или какими потребностями обусловлена необходимость данной инновации. Проблема записывается как противоречие. Например, “необходимость осуществить педагогическую поддержку учащихся и отсутствие у педагогов-воспитателей знаний об этом приеме для реализации на практике”.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Цель инновации, нововведения.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Чтобы сформулировать цель, надо обратить внимание на вторую часть проблемы (противоречия) и ответить на вопрос: “Что желательно создать в итоге работы?” Цель любого нововведения прописывается в глагольной форме. Например, “разработать и освоить новый прием педагогической поддержки учащихся”.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Сущность инновации, нововведения.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Сущность нововведения – это развернутая цель, комплекс задач, которые надо решить. Например: “поэтапно разработать и внедрить прием педагогической поддержки в воспитательный процесс”.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4. Прогнозируемый результат нововведения. 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Любой прогнозируемый результат должен содержать показатели достижимости, реальности и измеримости. Прогнозируются: возможные (ожидаемые) положительные результаты; возможные потери, негативные последствия; компенсационные меры по их устранению.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Здесь же указываются параметры, по которым будет определяться эффективность нововведения.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Классификация инновации, нововведения по области применения знаний.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Требуется подчеркнуть или дописать, каких областей знания касаются нововведения.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6. </w:t>
      </w:r>
      <w:proofErr w:type="spellStart"/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Инноватор</w:t>
      </w:r>
      <w:proofErr w:type="spellEnd"/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Записываются сведения о том, кто вводит инновацию в данном классе или в школе. Подчеркнуть, кем он является по отношению к данной инновации (разработчик, пользователь, распространитель).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Стадии нововведения.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Подчеркнуть все стадии, которые прошло конкретное нововведение в классе, школе, включая стадию, на которой оно находится в данный момент.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Нововведение прошло экспериментальную проверку.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Кратность проверок подсчитывается в конце учебного года.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 Характер инновационного процесса (эксперимента или опыта).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Констатирующий – отслеживание процесса, констатация результатов.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Уточняющий – корректировка гипотезы в соответствии с результатами.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Формирующий – оформление и описание воспитательной технологии и ожидаемых результатов.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Активный эксперимент носит лабораторный, производственный характер.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Пассивный эксперимент – педагогическое наблюдение.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 Препятствия на пути разработки и внедрения.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Проблемы, которые мешают внедрению инновации: социальные, правовые, материально-технические, финансовые, а также общепедагогические (управленческие, </w:t>
      </w:r>
      <w:proofErr w:type="spellStart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частнометодические</w:t>
      </w:r>
      <w:proofErr w:type="spellEnd"/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воспитательные и др.).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11. Экспериментальный контроль осуществляется...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Экспертами могут быть учителя-коллеги, опытные руководители школ, методисты, ученые и др. Общественный контроль осуществляют родительские, ученические, профсоюзные организации, управляющие советы школ и др. Самоконтроль необходим разработчикам, распространителям и пользователям новшества.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12. Оценка инновации.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Она дается с учетом данных карты 2 “Контроль и экспертная оценка результата инновации”.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13. Какие еще проблемы предстоит решить.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Описание препятствий на пути реализации нововведения. Например: психологический барьер у педагогов-воспитателей, отсутствие частного опыта по применению педагогической поддержки учащихся и др.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14. Особые замечания о значении инновации…</w:t>
      </w: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Заполняется по результатам экспертизы программы инновации и нововведения.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Данные заполненных карт можно ввести в компьютер.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Приложение 2</w:t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Диагностическая карта</w:t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lastRenderedPageBreak/>
        <w:t>"Оценка готовности педагога к участию в инновационной деятельности"</w:t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Инструкция:</w:t>
      </w: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Оцените предложенные критерии своей готовности</w:t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</w:t>
      </w:r>
      <w:proofErr w:type="gramEnd"/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5-балльной шкале.</w:t>
      </w:r>
    </w:p>
    <w:p w:rsidR="00C66A58" w:rsidRPr="00C66A58" w:rsidRDefault="00C66A58" w:rsidP="00C66A58">
      <w:pPr>
        <w:shd w:val="clear" w:color="auto" w:fill="FFFFFF"/>
        <w:spacing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8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"/>
        <w:gridCol w:w="6492"/>
        <w:gridCol w:w="335"/>
        <w:gridCol w:w="15"/>
        <w:gridCol w:w="322"/>
        <w:gridCol w:w="335"/>
        <w:gridCol w:w="335"/>
        <w:gridCol w:w="1379"/>
      </w:tblGrid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5</w:t>
            </w:r>
          </w:p>
        </w:tc>
      </w:tr>
      <w:tr w:rsidR="00C66A58" w:rsidRPr="00C66A58" w:rsidTr="00C66A58">
        <w:tc>
          <w:tcPr>
            <w:tcW w:w="957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I. Мотивационно-творческая направленность личности</w:t>
            </w:r>
          </w:p>
        </w:tc>
      </w:tr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Заинтересованность в творческой деятельности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Стремление к творческим достижениям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Стремление к лидерству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Стремление к получению высокой оценки деятельности со стороны администрации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Личная значимость творческой деятельности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Стремление к самосовершенствованию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73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9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957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II. Креативность педагога</w:t>
            </w:r>
          </w:p>
        </w:tc>
      </w:tr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Способность отказаться от стереотипов в педагогической деятельности, преодолеть инерцию мышления</w:t>
            </w:r>
          </w:p>
        </w:tc>
        <w:tc>
          <w:tcPr>
            <w:tcW w:w="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Стремление к риску</w:t>
            </w:r>
          </w:p>
        </w:tc>
        <w:tc>
          <w:tcPr>
            <w:tcW w:w="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Критичность мышления, способность к оценочным суждениям</w:t>
            </w:r>
          </w:p>
        </w:tc>
        <w:tc>
          <w:tcPr>
            <w:tcW w:w="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Способность к самоанализу, рефлексии</w:t>
            </w:r>
          </w:p>
        </w:tc>
        <w:tc>
          <w:tcPr>
            <w:tcW w:w="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73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9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957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III. Профессиональные способности педагога к осуществлению инновационной деятельности</w:t>
            </w:r>
          </w:p>
        </w:tc>
      </w:tr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Владение методами педагогического исследования</w:t>
            </w:r>
          </w:p>
        </w:tc>
        <w:tc>
          <w:tcPr>
            <w:tcW w:w="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Способность к планированию экспериментальной работы</w:t>
            </w:r>
          </w:p>
        </w:tc>
        <w:tc>
          <w:tcPr>
            <w:tcW w:w="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Способность к созданию авторской концепции</w:t>
            </w:r>
          </w:p>
        </w:tc>
        <w:tc>
          <w:tcPr>
            <w:tcW w:w="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Способность к организации эксперимента</w:t>
            </w:r>
          </w:p>
        </w:tc>
        <w:tc>
          <w:tcPr>
            <w:tcW w:w="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Способность к коррекции своей деятельности</w:t>
            </w:r>
          </w:p>
        </w:tc>
        <w:tc>
          <w:tcPr>
            <w:tcW w:w="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Способность использовать опыт творческой деятельности других педагогов</w:t>
            </w:r>
          </w:p>
        </w:tc>
        <w:tc>
          <w:tcPr>
            <w:tcW w:w="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Способность к сотрудничеству</w:t>
            </w:r>
          </w:p>
        </w:tc>
        <w:tc>
          <w:tcPr>
            <w:tcW w:w="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Способность творчески разрешать конфликты</w:t>
            </w:r>
          </w:p>
        </w:tc>
        <w:tc>
          <w:tcPr>
            <w:tcW w:w="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73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9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957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IV. Индивидуальные особенности личности педагога</w:t>
            </w:r>
          </w:p>
        </w:tc>
      </w:tr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Работоспособность в творческой деятельности</w:t>
            </w:r>
          </w:p>
        </w:tc>
        <w:tc>
          <w:tcPr>
            <w:tcW w:w="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Уверенность в себе</w:t>
            </w:r>
          </w:p>
        </w:tc>
        <w:tc>
          <w:tcPr>
            <w:tcW w:w="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Ответственность</w:t>
            </w:r>
          </w:p>
        </w:tc>
        <w:tc>
          <w:tcPr>
            <w:tcW w:w="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A58" w:rsidRPr="00C66A58" w:rsidTr="00C66A58">
        <w:tc>
          <w:tcPr>
            <w:tcW w:w="73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A5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Всего:</w:t>
            </w:r>
          </w:p>
        </w:tc>
        <w:tc>
          <w:tcPr>
            <w:tcW w:w="19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58" w:rsidRPr="00C66A58" w:rsidRDefault="00C66A58" w:rsidP="00C66A5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Спасибо!</w:t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Обработка результатов:</w:t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 основе полученных результатов делаются выводы:</w:t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</w:t>
      </w: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о высоком уровне готовности педагога к участию в инновационной деятельности – набрано от 84 до 71 баллов;</w:t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</w:t>
      </w: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среднем уровне – от 70 до 55 баллов;</w:t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</w:t>
      </w:r>
      <w:r w:rsidRPr="00C66A5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низком уровне – менее 55 баллов.</w:t>
      </w: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A58" w:rsidRPr="00C66A58" w:rsidRDefault="00C66A58" w:rsidP="00C66A5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6A58" w:rsidRPr="00C66A58" w:rsidRDefault="00C66A58" w:rsidP="00C66A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6A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sectPr w:rsidR="00C66A58" w:rsidRPr="00C6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5B82"/>
    <w:multiLevelType w:val="multilevel"/>
    <w:tmpl w:val="C858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96206"/>
    <w:multiLevelType w:val="multilevel"/>
    <w:tmpl w:val="8D2C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54549"/>
    <w:multiLevelType w:val="multilevel"/>
    <w:tmpl w:val="844A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E6403"/>
    <w:multiLevelType w:val="multilevel"/>
    <w:tmpl w:val="2EFE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D558A"/>
    <w:multiLevelType w:val="multilevel"/>
    <w:tmpl w:val="BB7C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41B76"/>
    <w:multiLevelType w:val="multilevel"/>
    <w:tmpl w:val="823C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F61E8"/>
    <w:multiLevelType w:val="multilevel"/>
    <w:tmpl w:val="AD56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436D4"/>
    <w:multiLevelType w:val="multilevel"/>
    <w:tmpl w:val="366C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BD5E00"/>
    <w:multiLevelType w:val="multilevel"/>
    <w:tmpl w:val="ED62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30E27"/>
    <w:multiLevelType w:val="multilevel"/>
    <w:tmpl w:val="6564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3F7B8B"/>
    <w:multiLevelType w:val="multilevel"/>
    <w:tmpl w:val="B4CA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58"/>
    <w:rsid w:val="002922B1"/>
    <w:rsid w:val="009F504E"/>
    <w:rsid w:val="00C6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F34F3-FBF9-45F3-AE2E-6643CBEC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6A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A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6A58"/>
  </w:style>
  <w:style w:type="character" w:styleId="a4">
    <w:name w:val="Hyperlink"/>
    <w:basedOn w:val="a0"/>
    <w:uiPriority w:val="99"/>
    <w:semiHidden/>
    <w:unhideWhenUsed/>
    <w:rsid w:val="00C66A58"/>
    <w:rPr>
      <w:color w:val="0000FF"/>
      <w:u w:val="single"/>
    </w:rPr>
  </w:style>
  <w:style w:type="character" w:customStyle="1" w:styleId="mydownload">
    <w:name w:val="mydownload"/>
    <w:basedOn w:val="a0"/>
    <w:rsid w:val="00C66A5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6A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66A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6A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66A5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62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230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36047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06166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1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8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9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552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0263223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4846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63787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172693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7184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04133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0452975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2929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51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0987956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9743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2205</Words>
  <Characters>12575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3</cp:revision>
  <dcterms:created xsi:type="dcterms:W3CDTF">2017-11-30T09:28:00Z</dcterms:created>
  <dcterms:modified xsi:type="dcterms:W3CDTF">2017-11-30T09:37:00Z</dcterms:modified>
</cp:coreProperties>
</file>