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3F2" w:rsidRPr="00F70853" w:rsidRDefault="00D423F2" w:rsidP="00D423F2">
      <w:pPr>
        <w:spacing w:after="0" w:line="240" w:lineRule="auto"/>
        <w:ind w:left="269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0853">
        <w:rPr>
          <w:rFonts w:ascii="Times New Roman" w:hAnsi="Times New Roman" w:cs="Times New Roman"/>
          <w:b/>
          <w:sz w:val="24"/>
          <w:szCs w:val="24"/>
        </w:rPr>
        <w:t>КАЗБЕКОВА Т.М.</w:t>
      </w:r>
    </w:p>
    <w:p w:rsidR="00D423F2" w:rsidRPr="00F70853" w:rsidRDefault="00D423F2" w:rsidP="00D423F2">
      <w:pPr>
        <w:spacing w:after="0" w:line="240" w:lineRule="auto"/>
        <w:ind w:left="2694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70853">
        <w:rPr>
          <w:rFonts w:ascii="Times New Roman" w:hAnsi="Times New Roman" w:cs="Times New Roman"/>
          <w:i/>
          <w:sz w:val="24"/>
          <w:szCs w:val="24"/>
        </w:rPr>
        <w:t>преподаватель кафедры АСУ Военно-инженерного института радиоэлектроники и связи МО РК города Алматы</w:t>
      </w:r>
    </w:p>
    <w:p w:rsidR="00D423F2" w:rsidRPr="00F70853" w:rsidRDefault="00D423F2" w:rsidP="00D423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23F2" w:rsidRPr="00F70853" w:rsidRDefault="00D423F2" w:rsidP="00D423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423F2" w:rsidRPr="00F70853" w:rsidRDefault="005A4EB9" w:rsidP="00E84D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ПОДГОТОВКА ПРЕПОДАВАТЕЛЯ ИНФОРМАТИКИ В УСЛОВИЯХ МОДЕРНИЗАЦИИ ОСВРЕМЕННОГО ОБРАЗОВАНИЯ</w:t>
      </w:r>
    </w:p>
    <w:p w:rsidR="00E84D82" w:rsidRPr="00F70853" w:rsidRDefault="00E84D82" w:rsidP="00D423F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4D82" w:rsidRPr="00D423F2" w:rsidRDefault="00E84D82" w:rsidP="00D423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31F4A" w:rsidRPr="005A4EB9" w:rsidRDefault="005A4EB9" w:rsidP="005A4EB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A4EB9">
        <w:rPr>
          <w:rFonts w:ascii="Times New Roman" w:hAnsi="Times New Roman" w:cs="Times New Roman"/>
          <w:color w:val="000000"/>
          <w:sz w:val="28"/>
          <w:szCs w:val="28"/>
        </w:rPr>
        <w:t>Процесс подготовки современного </w:t>
      </w:r>
      <w:r w:rsidRPr="005A4EB9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EEEEEE"/>
        </w:rPr>
        <w:t>учителя информатики</w:t>
      </w:r>
      <w:r w:rsidRPr="005A4EB9">
        <w:rPr>
          <w:rFonts w:ascii="Times New Roman" w:hAnsi="Times New Roman" w:cs="Times New Roman"/>
          <w:color w:val="000000"/>
          <w:sz w:val="28"/>
          <w:szCs w:val="28"/>
        </w:rPr>
        <w:t> сопряжён с рядом изменений, которые мы наблюдаем в современном обществе, в современной системе образования. Изменения, происходящие в современном обществе, ставят перед системой профессиональной подготовки </w:t>
      </w:r>
      <w:r w:rsidRPr="005A4EB9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EEEEEE"/>
        </w:rPr>
        <w:t>учителя информатики</w:t>
      </w:r>
      <w:r w:rsidRPr="005A4EB9">
        <w:rPr>
          <w:rFonts w:ascii="Times New Roman" w:hAnsi="Times New Roman" w:cs="Times New Roman"/>
          <w:color w:val="000000"/>
          <w:sz w:val="28"/>
          <w:szCs w:val="28"/>
        </w:rPr>
        <w:t xml:space="preserve"> ряд задач, на которые необходимо реагировать. В статье затрагивается тема подготовки современного учителя в условиях профессионального динамизма. </w:t>
      </w:r>
      <w:r>
        <w:rPr>
          <w:rFonts w:ascii="Times New Roman" w:hAnsi="Times New Roman" w:cs="Times New Roman"/>
          <w:color w:val="000000"/>
          <w:sz w:val="28"/>
          <w:szCs w:val="28"/>
        </w:rPr>
        <w:t>В статье</w:t>
      </w:r>
      <w:r w:rsidRPr="005A4EB9">
        <w:rPr>
          <w:rFonts w:ascii="Times New Roman" w:hAnsi="Times New Roman" w:cs="Times New Roman"/>
          <w:color w:val="000000"/>
          <w:sz w:val="28"/>
          <w:szCs w:val="28"/>
        </w:rPr>
        <w:t xml:space="preserve"> отмечают</w:t>
      </w:r>
      <w:r>
        <w:rPr>
          <w:rFonts w:ascii="Times New Roman" w:hAnsi="Times New Roman" w:cs="Times New Roman"/>
          <w:color w:val="000000"/>
          <w:sz w:val="28"/>
          <w:szCs w:val="28"/>
        </w:rPr>
        <w:t>ся</w:t>
      </w:r>
      <w:r w:rsidRPr="005A4EB9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характерные черты профессиональной деятельности современного человека: формирование профессионального опыта в условиях неоднозначности профессиональных задач, динамичности производственных процессов, избыточности и неопределённости информации в профессиональной сфере. Возникает необходимость пересмотра подходов к организации учебного процесса, направленных на формирование профессиональных компетенций. Создание условий, пересмотр содержания и форматов обучения, способствующих успешному вхождению в профессию будущего </w:t>
      </w:r>
      <w:r w:rsidRPr="005A4EB9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EEEEEE"/>
        </w:rPr>
        <w:t>учителя информатики</w:t>
      </w:r>
      <w:r w:rsidRPr="005A4EB9">
        <w:rPr>
          <w:rFonts w:ascii="Times New Roman" w:hAnsi="Times New Roman" w:cs="Times New Roman"/>
          <w:color w:val="000000"/>
          <w:sz w:val="28"/>
          <w:szCs w:val="28"/>
        </w:rPr>
        <w:t> является основной задачей на современном этапе. Основное содержание исследования составляет анализ условий организации образовательного процесса, ориентированного на формирование профессиональных компетенций будущего </w:t>
      </w:r>
      <w:r w:rsidRPr="005A4EB9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EEEEEE"/>
        </w:rPr>
        <w:t>учителя информатики</w:t>
      </w:r>
      <w:r w:rsidRPr="005A4EB9">
        <w:rPr>
          <w:rFonts w:ascii="Times New Roman" w:hAnsi="Times New Roman" w:cs="Times New Roman"/>
          <w:color w:val="000000"/>
          <w:sz w:val="28"/>
          <w:szCs w:val="28"/>
        </w:rPr>
        <w:t>. Делается вывод о том, что поиск подходов, ориентированных на формирование личностного и профессионального становления педагога осуществляется без учёта особенностей организации профессиональной деятельности в </w:t>
      </w:r>
      <w:r w:rsidRPr="005A4EB9">
        <w:rPr>
          <w:rStyle w:val="hl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EEEEEE"/>
        </w:rPr>
        <w:t>информационном обществе</w:t>
      </w:r>
      <w:r w:rsidRPr="005A4EB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i/>
          <w:color w:val="000000"/>
          <w:sz w:val="28"/>
          <w:szCs w:val="28"/>
        </w:rPr>
      </w:pPr>
      <w:r w:rsidRPr="005A4EB9">
        <w:rPr>
          <w:i/>
          <w:color w:val="000000"/>
          <w:sz w:val="28"/>
          <w:szCs w:val="28"/>
        </w:rPr>
        <w:t>Ключевые слова: бакалавр педагогического образования, подготовка бакалавров, информационное общество, учитель информатики, условия организации учебного процесса в вузе, профессиональные компетенции учителя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Знания и технологии выступают основой экономических изменений, происходящих в современном обществе. Технологии трансформируют сферу профессиональной деятельности современного человека и приводят к появлению «нового знания». Ключевыми характеристиками профессиональной сферы современного человека становятся: избыточность профессиональной информации, динамичность и технологичность процессов в профессиональной сфере, неопределённость профессиональных ситуаций.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lastRenderedPageBreak/>
        <w:t>В обществе ближайшего будущего формируется запрос на профессионала, готового к использованию своего потенциала при решении задач, не описанных ранее в профессиональной практике, созданию условий для появления нового профессионального знания и его осмысления. Деятельность в профессиональной сфере фокусируется на применении технологий к созданию прототипа совершенно нового продукта и исследованию новых знаний, возникающих в сфере его использования.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В результате в системе высшего профессионального образования формируется</w:t>
      </w:r>
      <w:r>
        <w:rPr>
          <w:color w:val="000000"/>
          <w:sz w:val="28"/>
          <w:szCs w:val="28"/>
        </w:rPr>
        <w:t xml:space="preserve"> </w:t>
      </w:r>
      <w:r w:rsidRPr="005A4EB9">
        <w:rPr>
          <w:color w:val="000000"/>
          <w:sz w:val="28"/>
          <w:szCs w:val="28"/>
        </w:rPr>
        <w:t>модель подготовки специалиста, для которой характерны следующие черты: создание условий в процессе обучения для формирования у учащегося нового субъектного опыта, профессиональное становление через осмысление проблем и разработку проектов их решения, формирование личной заинтересованности студента, предоставление возможности в реализации реальных проектов в условиях построения индивидуальной траектории обучения студента, разворачивание учебного процесса в рамках логики профессиональной деятельности [5; 6].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Формируются определённые требования к системе профессиональной подготовки учителя информатики и ИКТ. Именно к учителю информатики предъявляются повышенные требования, что объясняется важностью самого предмета «Информатика и ИКТ» в системе общего образования. Этот предмет призван подготовить ученика к продолжению обучения и реализации профессиональной деятельности в условиях высокотехнологичного информационного общества, где информационные и коммуникационные технологии выступают и как средство, и как цель обучения и работы, и как сфера появления нового знания.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Система профессиональной подготовки современного учителя информатики к реализации педагогической деятельности в условиях высокотехнологичной среды должна ориентироваться на важные составляющие и характерные черты общества в будущем.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Методология и методы исследования. В процессе работы использованы методы теоретического анализа, обобщения, конкретизации и классификации информации научно-педагогического и методического характера.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На основе изучения научной литературы установлено, что активное развитие технологий визуализации, удалённого доступа и коллективного взаимодействия приводит к изменениям в сфере педагогической деятельности современного учителя. Следует отметить ключевые из них: появление многообразия форм и методов обучения (мобильное обучение, адаптивное обучение, персонализированное обучение, </w:t>
      </w:r>
      <w:proofErr w:type="spellStart"/>
      <w:r w:rsidRPr="005A4EB9">
        <w:rPr>
          <w:color w:val="000000"/>
          <w:sz w:val="28"/>
          <w:szCs w:val="28"/>
        </w:rPr>
        <w:t>форсайт</w:t>
      </w:r>
      <w:proofErr w:type="spellEnd"/>
      <w:r w:rsidRPr="005A4EB9">
        <w:rPr>
          <w:color w:val="000000"/>
          <w:sz w:val="28"/>
          <w:szCs w:val="28"/>
        </w:rPr>
        <w:t>-обучение и т. д.); изменение моделей обучения (сетевая модель обучения, корпоративная модель обучения, модель смешанного обучения); совершенствование техничес</w:t>
      </w:r>
      <w:r>
        <w:rPr>
          <w:color w:val="000000"/>
          <w:sz w:val="28"/>
          <w:szCs w:val="28"/>
        </w:rPr>
        <w:t>кого обеспечения процессов орга</w:t>
      </w:r>
      <w:r w:rsidRPr="005A4EB9">
        <w:rPr>
          <w:color w:val="000000"/>
          <w:sz w:val="28"/>
          <w:szCs w:val="28"/>
        </w:rPr>
        <w:t xml:space="preserve">низации обучения (дистанционное </w:t>
      </w:r>
      <w:r w:rsidRPr="005A4EB9">
        <w:rPr>
          <w:color w:val="000000"/>
          <w:sz w:val="28"/>
          <w:szCs w:val="28"/>
        </w:rPr>
        <w:lastRenderedPageBreak/>
        <w:t>обучение в режиме онлайн, офлайн, платформенные решения в формате MOOC, СДО).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мой</w:t>
      </w:r>
      <w:r w:rsidRPr="005A4EB9">
        <w:rPr>
          <w:color w:val="000000"/>
          <w:sz w:val="28"/>
          <w:szCs w:val="28"/>
        </w:rPr>
        <w:t xml:space="preserve"> взгляд, запросы современного общества ориентированы на подготовку педагогов, готовых к реализации деятельности в условиях избыточности информационно-образовательной среды, динамичности и технологичности процессов организации обучения, неопределённости ситуаций, с которыми они сталкиваются. В современном обществе формируется запрос на учителя как активную личность, которая способна самостоятельно определять и реализовывать цели, выходящие за пределы стандартных требований.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Способность к пониманию глобальных процессов в условиях стратегии государственной политики, готовность к управлению системами и процессами в образовательной экосистеме определяются как ключевые профессиональные компетенции учителя в ближайшем будущем [14; 17].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Формирование готовности педагога к реализации педагогической деятельности в условиях открытой архитектуры образовательной системы рассматривается нами как основная задача в системе профессиональной подготовки учителя информатики. В условиях открытой архитектуры образовательной системы учитель информатики должен владеть такими компетенциями, как: готовность к организации познавательной деятельности школьников, ориентированной на создание образовательных артефактов, не существующих ранее; готовность к реализации проектов с учащимися с использованием образовательных решений, не существующих ранее и не описанных в практике образования; способность к оценке социальных рисков от использования и применения данных образовательных решений и артефактов.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Теоретический анализ литературных источников позволил выделить ключевые идеи, взятые за основу в формировании системы профессиональной подготовки современного учителя. Ключевой из них является идея о формировании готовности современного учителя к реализации профессиональной деятельности в условиях «обучения в течение всей жизни». Данное направление предполагает личностное и профессиональное становление современного педагога через формирование готовности к постоянному саморазвитию и самообучению. В основе</w:t>
      </w:r>
      <w:r>
        <w:rPr>
          <w:color w:val="000000"/>
          <w:sz w:val="28"/>
          <w:szCs w:val="28"/>
        </w:rPr>
        <w:t xml:space="preserve"> </w:t>
      </w:r>
      <w:r w:rsidRPr="005A4EB9">
        <w:rPr>
          <w:color w:val="000000"/>
          <w:sz w:val="28"/>
          <w:szCs w:val="28"/>
        </w:rPr>
        <w:t xml:space="preserve">организации процесса подготовки будущего учителя - установка на то, что они сами определяют свои потребности в обучении. Это способствует формированию важнейших умений, востребованных в будущем: самостоятельного обучения и управления образовательным процессом [3]. Данный подход в полной мере реализуется в системе педагогического сопровождения деятельности современного корпоративного университета (Сбербанк, Газпром, МТС и т. д.), в рамках которого обучение выстраивается на основе использования инновационных методик, технологий и инструментов по четырём ключевым центрам </w:t>
      </w:r>
      <w:r w:rsidRPr="005A4EB9">
        <w:rPr>
          <w:color w:val="000000"/>
          <w:sz w:val="28"/>
          <w:szCs w:val="28"/>
        </w:rPr>
        <w:lastRenderedPageBreak/>
        <w:t>компетенций - методология, развитие и обучение, оценка, управление знаниями и консалтинг.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Н</w:t>
      </w:r>
      <w:r>
        <w:rPr>
          <w:color w:val="000000"/>
          <w:sz w:val="28"/>
          <w:szCs w:val="28"/>
        </w:rPr>
        <w:t xml:space="preserve">еобходимость применения </w:t>
      </w:r>
      <w:proofErr w:type="spellStart"/>
      <w:r>
        <w:rPr>
          <w:color w:val="000000"/>
          <w:sz w:val="28"/>
          <w:szCs w:val="28"/>
        </w:rPr>
        <w:t>деятель</w:t>
      </w:r>
      <w:r w:rsidRPr="005A4EB9">
        <w:rPr>
          <w:color w:val="000000"/>
          <w:sz w:val="28"/>
          <w:szCs w:val="28"/>
        </w:rPr>
        <w:t>ностных</w:t>
      </w:r>
      <w:proofErr w:type="spellEnd"/>
      <w:r w:rsidRPr="005A4EB9">
        <w:rPr>
          <w:color w:val="000000"/>
          <w:sz w:val="28"/>
          <w:szCs w:val="28"/>
        </w:rPr>
        <w:t xml:space="preserve"> технологий в системе подготовки будущих педагогов определяют авторы В. С. Лазарев, И. А. </w:t>
      </w:r>
      <w:proofErr w:type="spellStart"/>
      <w:r w:rsidRPr="005A4EB9">
        <w:rPr>
          <w:color w:val="000000"/>
          <w:sz w:val="28"/>
          <w:szCs w:val="28"/>
        </w:rPr>
        <w:t>Крутова</w:t>
      </w:r>
      <w:proofErr w:type="spellEnd"/>
      <w:r w:rsidRPr="005A4EB9">
        <w:rPr>
          <w:color w:val="000000"/>
          <w:sz w:val="28"/>
          <w:szCs w:val="28"/>
        </w:rPr>
        <w:t xml:space="preserve">, Г. П. </w:t>
      </w:r>
      <w:proofErr w:type="spellStart"/>
      <w:r w:rsidRPr="005A4EB9">
        <w:rPr>
          <w:color w:val="000000"/>
          <w:sz w:val="28"/>
          <w:szCs w:val="28"/>
        </w:rPr>
        <w:t>Стефанова</w:t>
      </w:r>
      <w:proofErr w:type="spellEnd"/>
      <w:r w:rsidRPr="005A4EB9">
        <w:rPr>
          <w:color w:val="000000"/>
          <w:sz w:val="28"/>
          <w:szCs w:val="28"/>
        </w:rPr>
        <w:t xml:space="preserve"> [11; 13]. Они обосновывают это как главное направление в разработке научного обеспечения системы профессиональной подготовки педагога. Для формирования профессиональных умений педагога выделяют условия, ориентированные на возможность решать практические задачи, связанные с профессиональной деятельностью учителя, на занятиях; выступать в роли обучающегося, а не обучаемого; формировать профессиональные действия в соответствии с конкретностью и полнотой определения педагогической цели и способов проверки фактически полученного результата; осознавать профессиональный опыт на основе рефлексии способа действия.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Анализ научно-педагогической литературы по проблеме подготовки современного учителя информатики показывает, что в ней нет достаточно точной и ясной картины. Одни авторы предлагают совершенствовать содержание подготовки учителя информатики. Например, В. П. </w:t>
      </w:r>
      <w:proofErr w:type="spellStart"/>
      <w:r w:rsidRPr="005A4EB9">
        <w:rPr>
          <w:color w:val="000000"/>
          <w:sz w:val="28"/>
          <w:szCs w:val="28"/>
        </w:rPr>
        <w:t>Жуланова</w:t>
      </w:r>
      <w:proofErr w:type="spellEnd"/>
      <w:r w:rsidRPr="005A4EB9">
        <w:rPr>
          <w:color w:val="000000"/>
          <w:sz w:val="28"/>
          <w:szCs w:val="28"/>
        </w:rPr>
        <w:t xml:space="preserve"> предлагает организовать учебный процесс так, чтобы большая часть времени обучения выделялась на самостоятельную, групповую и сетевую работу. Чтобы студент сам в своём обучении поучаствовал, «прожил» в современных технологиях обучения с позиции ученика. Автор делает вывод, что подготовить современного учителя информатики можно только моделируя в процессе обучения процесс профессиональной деятельности [7].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О. В. Садыкова отмечает, что «существующ</w:t>
      </w:r>
      <w:r>
        <w:rPr>
          <w:color w:val="000000"/>
          <w:sz w:val="28"/>
          <w:szCs w:val="28"/>
        </w:rPr>
        <w:t>ая практика предметной подготов</w:t>
      </w:r>
      <w:r w:rsidRPr="005A4EB9">
        <w:rPr>
          <w:color w:val="000000"/>
          <w:sz w:val="28"/>
          <w:szCs w:val="28"/>
        </w:rPr>
        <w:t>ки учителя информатики не охватывает все компоненты науки "Информатики"». Объём и глубина предметной подготовки не в полной мере отражает уровень развития науки «Информатики» на современном этапе. В результате возникает необходимость в подготовке учителя к проектированию профильных (элективных) курсов, отражающих уровень развития технологий и области их применения в обществе [15].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Т. А. </w:t>
      </w:r>
      <w:proofErr w:type="spellStart"/>
      <w:r w:rsidRPr="005A4EB9">
        <w:rPr>
          <w:color w:val="000000"/>
          <w:sz w:val="28"/>
          <w:szCs w:val="28"/>
        </w:rPr>
        <w:t>Шастун</w:t>
      </w:r>
      <w:proofErr w:type="spellEnd"/>
      <w:r w:rsidRPr="005A4EB9">
        <w:rPr>
          <w:color w:val="000000"/>
          <w:sz w:val="28"/>
          <w:szCs w:val="28"/>
        </w:rPr>
        <w:t xml:space="preserve"> [16] констатирует, что сложилось противоречие между постоянным возрастанием образовательного потенциала современных средств ИКТ, повышением требований к специально-технологическим компетенциям учителя информатики и недостаточной разработанностью теоретико-методических основ их формирования в вузе. Автор утверждает, что «учитель должен уметь использовать специальные технологии для разработки программного обеспечения и реализации их в учебном процессе, анализировать информационные технологии, практическое использование различных специальных информационных технологий, что и диктует необходимость формирования у него специально-технологических компетенций. Такие компетенции учителя информатики определяют, с одной стороны: обучение основам информатики на уровне пользователя, обучение </w:t>
      </w:r>
      <w:r w:rsidRPr="005A4EB9">
        <w:rPr>
          <w:color w:val="000000"/>
          <w:sz w:val="28"/>
          <w:szCs w:val="28"/>
        </w:rPr>
        <w:lastRenderedPageBreak/>
        <w:t>основам программирования, создания простейших информационных продуктов, презентации, а с другой - способность применять специальные информационные технологии в процессе обучения и создавать информационную обеспеченность учебной деятельности учебного заведения».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Л. М. Ивкина [10] предлагает модель методической подготовки будущего учителя информатики в условиях образовательного кластера на платформе «</w:t>
      </w:r>
      <w:proofErr w:type="spellStart"/>
      <w:r w:rsidRPr="005A4EB9">
        <w:rPr>
          <w:color w:val="000000"/>
          <w:sz w:val="28"/>
          <w:szCs w:val="28"/>
        </w:rPr>
        <w:t>Мегакласс</w:t>
      </w:r>
      <w:proofErr w:type="spellEnd"/>
      <w:r w:rsidRPr="005A4EB9">
        <w:rPr>
          <w:color w:val="000000"/>
          <w:sz w:val="28"/>
          <w:szCs w:val="28"/>
        </w:rPr>
        <w:t>». Ею описаны условия организации педагогического эксперимента и представлены результаты, доказывающие эффективность предложенной модели.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Авторы Л. В. Горчаков, Н. Ф. Долганова и А. Н. </w:t>
      </w:r>
      <w:proofErr w:type="spellStart"/>
      <w:r w:rsidRPr="005A4EB9">
        <w:rPr>
          <w:color w:val="000000"/>
          <w:sz w:val="28"/>
          <w:szCs w:val="28"/>
        </w:rPr>
        <w:t>Стась</w:t>
      </w:r>
      <w:proofErr w:type="spellEnd"/>
      <w:r w:rsidRPr="005A4EB9">
        <w:rPr>
          <w:color w:val="000000"/>
          <w:sz w:val="28"/>
          <w:szCs w:val="28"/>
        </w:rPr>
        <w:t xml:space="preserve"> [4] считают, что качественная предметная подготовка является необходимым требованием к квалификации педагога. Они обращают внимание на важность формирования алгоритмического мышления будущего учителя информатики.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А. Ш. </w:t>
      </w:r>
      <w:proofErr w:type="spellStart"/>
      <w:r w:rsidRPr="005A4EB9">
        <w:rPr>
          <w:color w:val="000000"/>
          <w:sz w:val="28"/>
          <w:szCs w:val="28"/>
        </w:rPr>
        <w:t>Бакмаев</w:t>
      </w:r>
      <w:proofErr w:type="spellEnd"/>
      <w:r w:rsidRPr="005A4EB9">
        <w:rPr>
          <w:color w:val="000000"/>
          <w:sz w:val="28"/>
          <w:szCs w:val="28"/>
        </w:rPr>
        <w:t xml:space="preserve"> и Г. Г. Исаева указывают на необходимость создания условий для форми</w:t>
      </w:r>
      <w:r>
        <w:rPr>
          <w:color w:val="000000"/>
          <w:sz w:val="28"/>
          <w:szCs w:val="28"/>
        </w:rPr>
        <w:t>рования информационно-коммуника</w:t>
      </w:r>
      <w:r w:rsidRPr="005A4EB9">
        <w:rPr>
          <w:color w:val="000000"/>
          <w:sz w:val="28"/>
          <w:szCs w:val="28"/>
        </w:rPr>
        <w:t>ционной компетенции как ключевой компетенции уч</w:t>
      </w:r>
      <w:r>
        <w:rPr>
          <w:color w:val="000000"/>
          <w:sz w:val="28"/>
          <w:szCs w:val="28"/>
        </w:rPr>
        <w:t xml:space="preserve">ителя информатики [2]. Н. И. </w:t>
      </w:r>
      <w:proofErr w:type="spellStart"/>
      <w:r>
        <w:rPr>
          <w:color w:val="000000"/>
          <w:sz w:val="28"/>
          <w:szCs w:val="28"/>
        </w:rPr>
        <w:t>За</w:t>
      </w:r>
      <w:r w:rsidRPr="005A4EB9">
        <w:rPr>
          <w:color w:val="000000"/>
          <w:sz w:val="28"/>
          <w:szCs w:val="28"/>
        </w:rPr>
        <w:t>водчикова</w:t>
      </w:r>
      <w:proofErr w:type="spellEnd"/>
      <w:r w:rsidRPr="005A4EB9">
        <w:rPr>
          <w:color w:val="000000"/>
          <w:sz w:val="28"/>
          <w:szCs w:val="28"/>
        </w:rPr>
        <w:t xml:space="preserve"> и У. В. Плясунова отмечают о необходимости формирования методических компетенций [8].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Е. Н. Кувшинова [12] предлагает поэтапную подготовку будущих учителей информатики к разработке технологических карт уроков, планированию деятельности учащихся.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В системе подготовки современного учителя информатики особое место занимает изучение дисциплины «Методика обучения информатике» как важнейшей составляющей подготовки учителя информатики. Т. Б. Захарова и А. С. Захаров [9] считают, что организация образовательного процесса по освоению дисциплины «Методика обучения информатике» должна быть ориентирована на практическую деятельность будущих учителей информатики в современной информационной образовательной среде. Они предлагают аудиторные занятия проводить не только в виде традиционных лекций и семинаров, но и широко использовать активные и интерактивные формы. Среди них особая роль отводится разбору конкретных ситуаций, деловым и ролевым играм, выполнению исследовательских проектов, обучению в сотрудничестве при активном использовании сети Интернет и мультимедийных технологий.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Для практических занятий рекомендуют рассматривать систему педагогических задач, предусматривающих разбор педагогических ситуаций (видеозаписи уроков) для того, чтобы приблизить деятельность студента к его будущей профессиональной деятельности; организовывать встречи с авторами действующих учебников по информатике; организовывать мастер-классы и круглые столы с участием экспертов и специалистов в области </w:t>
      </w:r>
      <w:r w:rsidRPr="005A4EB9">
        <w:rPr>
          <w:color w:val="000000"/>
          <w:sz w:val="28"/>
          <w:szCs w:val="28"/>
        </w:rPr>
        <w:lastRenderedPageBreak/>
        <w:t>методики обучения информатике; принимать участие в обсуждении актуальных проблем в сетевых сообществах и т. п.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Результаты исследования. В рамках теоретического исследования определены </w:t>
      </w:r>
      <w:r>
        <w:rPr>
          <w:color w:val="000000"/>
          <w:sz w:val="28"/>
          <w:szCs w:val="28"/>
        </w:rPr>
        <w:t>ключевые компетенции учителя ин</w:t>
      </w:r>
      <w:r w:rsidRPr="005A4EB9">
        <w:rPr>
          <w:color w:val="000000"/>
          <w:sz w:val="28"/>
          <w:szCs w:val="28"/>
        </w:rPr>
        <w:t>форматики, необходимые для реализации педагогической деятельности в новых реалиях высокотехнологичного информационного общества. А именно: возможность организации познавательной деятельности школьников, ориентированной на создание информационных продуктов и прототипов, не существующих ранее; возможность реализации проектов с учащимися с применением образовательных решений, не описанных в практике образования; необходимость оценки социальных рисков от использования и применения созданных образовательных решений и разработанных прототипов.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По результатам теоретического анализа научных работ объединены основные идеи и подходы к организации системы профессиональной подготовки современного учителя информатики. Как правило, авторы ограничены в рамках ключевой идеи, отражающей необходимость формирования готовности у современного учителя к личностной и профессиональной самореализации через постоянное обучение и самообучение. При этом авторы акцентируют внимание на использовании различных подходов к организации деятельности студентов: использование </w:t>
      </w:r>
      <w:proofErr w:type="spellStart"/>
      <w:r w:rsidRPr="005A4EB9">
        <w:rPr>
          <w:color w:val="000000"/>
          <w:sz w:val="28"/>
          <w:szCs w:val="28"/>
        </w:rPr>
        <w:t>деятельностных</w:t>
      </w:r>
      <w:proofErr w:type="spellEnd"/>
      <w:r w:rsidRPr="005A4EB9">
        <w:rPr>
          <w:color w:val="000000"/>
          <w:sz w:val="28"/>
          <w:szCs w:val="28"/>
        </w:rPr>
        <w:t xml:space="preserve"> технологий, решение практических задач, анализ и обобщение опыта педагогической деятельности, включение в реальную работу профессиональных сообществ и т. д.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Следует заметить, что авторы не учитывают влияние технологий на изменение характера познавательного процесса и формирование открытой архитектуры образовательной системы, на которую оказывают влияние внешние информационные процессы.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Заключение. Анализ теоретических источников показал, что в системе профессиональной подготовки учителя информатики осуществляется постоянный поиск подходов, ориентированных на формирование личностного и профессионального становления педагога без учёта особенностей организации профессиональной деятельности в информационном обществе.</w:t>
      </w:r>
    </w:p>
    <w:p w:rsid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b/>
          <w:color w:val="000000"/>
          <w:sz w:val="28"/>
          <w:szCs w:val="28"/>
        </w:rPr>
      </w:pP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b/>
          <w:color w:val="000000"/>
          <w:sz w:val="28"/>
          <w:szCs w:val="28"/>
        </w:rPr>
      </w:pPr>
      <w:r w:rsidRPr="005A4EB9">
        <w:rPr>
          <w:b/>
          <w:color w:val="000000"/>
          <w:sz w:val="28"/>
          <w:szCs w:val="28"/>
        </w:rPr>
        <w:t>Список литературы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1. Андрусенко Е. Ю. Особенности подготовки учителя информатики к работе в системе дополнительного образования // Историческая и социально-образовательная мысль. 2017. Т. 9, № 2, ч. 2. С. 211-216.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2. </w:t>
      </w:r>
      <w:proofErr w:type="spellStart"/>
      <w:r w:rsidRPr="005A4EB9">
        <w:rPr>
          <w:color w:val="000000"/>
          <w:sz w:val="28"/>
          <w:szCs w:val="28"/>
        </w:rPr>
        <w:t>Бакмаев</w:t>
      </w:r>
      <w:proofErr w:type="spellEnd"/>
      <w:r w:rsidRPr="005A4EB9">
        <w:rPr>
          <w:color w:val="000000"/>
          <w:sz w:val="28"/>
          <w:szCs w:val="28"/>
        </w:rPr>
        <w:t xml:space="preserve"> А. Ш., Исаева Г. Г. Формирование информационно-коммуникационной компетентности будущего учителя информатики // Вестник Социально-педагогического института. 2016. № 1. С. 46-50.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lastRenderedPageBreak/>
        <w:t xml:space="preserve">3. </w:t>
      </w:r>
      <w:proofErr w:type="spellStart"/>
      <w:r w:rsidRPr="005A4EB9">
        <w:rPr>
          <w:color w:val="000000"/>
          <w:sz w:val="28"/>
          <w:szCs w:val="28"/>
        </w:rPr>
        <w:t>Белогуров</w:t>
      </w:r>
      <w:proofErr w:type="spellEnd"/>
      <w:r w:rsidRPr="005A4EB9">
        <w:rPr>
          <w:color w:val="000000"/>
          <w:sz w:val="28"/>
          <w:szCs w:val="28"/>
        </w:rPr>
        <w:t xml:space="preserve"> А. Ю. Стратегия и методология профессионального развития педагогов в течение всей жизни // Педагогика. 2016. № 7. С. 58-64.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4. Горчаков Л. В., Долганова Н. Ф., </w:t>
      </w:r>
      <w:proofErr w:type="spellStart"/>
      <w:r w:rsidRPr="005A4EB9">
        <w:rPr>
          <w:color w:val="000000"/>
          <w:sz w:val="28"/>
          <w:szCs w:val="28"/>
        </w:rPr>
        <w:t>Стась</w:t>
      </w:r>
      <w:proofErr w:type="spellEnd"/>
      <w:r w:rsidRPr="005A4EB9">
        <w:rPr>
          <w:color w:val="000000"/>
          <w:sz w:val="28"/>
          <w:szCs w:val="28"/>
        </w:rPr>
        <w:t xml:space="preserve"> А. Н. Предметная подготовка будущих учителей информатики // Вестник Томского государственного педагогического университета. 2017. № 9. С. 97-101.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5. Дроботенко Ю. Б. Исследование изменений в вузовской профессиональной подготовке учителей в условиях информационного общества // Человек и образование. 2012. № 3. C. 138-143.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6. Жигалова О. П. Процесс формирования субъективного опыта студента как основа организации обучения в педагогической магистратуре // </w:t>
      </w:r>
      <w:proofErr w:type="spellStart"/>
      <w:r w:rsidRPr="005A4EB9">
        <w:rPr>
          <w:color w:val="000000"/>
          <w:sz w:val="28"/>
          <w:szCs w:val="28"/>
        </w:rPr>
        <w:t>Человекоразмерное</w:t>
      </w:r>
      <w:proofErr w:type="spellEnd"/>
      <w:r w:rsidRPr="005A4EB9">
        <w:rPr>
          <w:color w:val="000000"/>
          <w:sz w:val="28"/>
          <w:szCs w:val="28"/>
        </w:rPr>
        <w:t xml:space="preserve"> образование: проблемы педагогических практик в России и в странах Азиатско-Тихоокеанского региона: материалы </w:t>
      </w:r>
      <w:proofErr w:type="spellStart"/>
      <w:r w:rsidRPr="005A4EB9">
        <w:rPr>
          <w:color w:val="000000"/>
          <w:sz w:val="28"/>
          <w:szCs w:val="28"/>
        </w:rPr>
        <w:t>Всерос</w:t>
      </w:r>
      <w:proofErr w:type="spellEnd"/>
      <w:r w:rsidRPr="005A4EB9">
        <w:rPr>
          <w:color w:val="000000"/>
          <w:sz w:val="28"/>
          <w:szCs w:val="28"/>
        </w:rPr>
        <w:t>. науч.-</w:t>
      </w:r>
      <w:proofErr w:type="spellStart"/>
      <w:r w:rsidRPr="005A4EB9">
        <w:rPr>
          <w:color w:val="000000"/>
          <w:sz w:val="28"/>
          <w:szCs w:val="28"/>
        </w:rPr>
        <w:t>практ</w:t>
      </w:r>
      <w:proofErr w:type="spellEnd"/>
      <w:r w:rsidRPr="005A4EB9">
        <w:rPr>
          <w:color w:val="000000"/>
          <w:sz w:val="28"/>
          <w:szCs w:val="28"/>
        </w:rPr>
        <w:t xml:space="preserve">. </w:t>
      </w:r>
      <w:proofErr w:type="spellStart"/>
      <w:r w:rsidRPr="005A4EB9">
        <w:rPr>
          <w:color w:val="000000"/>
          <w:sz w:val="28"/>
          <w:szCs w:val="28"/>
        </w:rPr>
        <w:t>конф</w:t>
      </w:r>
      <w:proofErr w:type="spellEnd"/>
      <w:r w:rsidRPr="005A4EB9">
        <w:rPr>
          <w:color w:val="000000"/>
          <w:sz w:val="28"/>
          <w:szCs w:val="28"/>
        </w:rPr>
        <w:t xml:space="preserve">. с </w:t>
      </w:r>
      <w:proofErr w:type="spellStart"/>
      <w:r w:rsidRPr="005A4EB9">
        <w:rPr>
          <w:color w:val="000000"/>
          <w:sz w:val="28"/>
          <w:szCs w:val="28"/>
        </w:rPr>
        <w:t>междунар</w:t>
      </w:r>
      <w:proofErr w:type="spellEnd"/>
      <w:r w:rsidRPr="005A4EB9">
        <w:rPr>
          <w:color w:val="000000"/>
          <w:sz w:val="28"/>
          <w:szCs w:val="28"/>
        </w:rPr>
        <w:t>. участием. Владивосток: ДВФУ 2015. С. 53-56.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7. </w:t>
      </w:r>
      <w:proofErr w:type="spellStart"/>
      <w:r w:rsidRPr="005A4EB9">
        <w:rPr>
          <w:color w:val="000000"/>
          <w:sz w:val="28"/>
          <w:szCs w:val="28"/>
        </w:rPr>
        <w:t>Жуланова</w:t>
      </w:r>
      <w:proofErr w:type="spellEnd"/>
      <w:r w:rsidRPr="005A4EB9">
        <w:rPr>
          <w:color w:val="000000"/>
          <w:sz w:val="28"/>
          <w:szCs w:val="28"/>
        </w:rPr>
        <w:t xml:space="preserve"> В. П. Современные направления и пути совершенствования содержания подготовки учителя информатики [Электронный ресурс] // Наука и перспективы. 2015. № 1. Режим доступа. https://www.cyberleninka.ru/article/n/sovremennye-napravleniya-i-puti-sovershenstvovaniya-soderzhaniya-podgotovki-uchitelya-informa</w:t>
      </w:r>
      <w:r>
        <w:rPr>
          <w:color w:val="000000"/>
          <w:sz w:val="28"/>
          <w:szCs w:val="28"/>
        </w:rPr>
        <w:t>tiki (дата обращения: 06</w:t>
      </w:r>
      <w:bookmarkStart w:id="0" w:name="_GoBack"/>
      <w:bookmarkEnd w:id="0"/>
      <w:r>
        <w:rPr>
          <w:color w:val="000000"/>
          <w:sz w:val="28"/>
          <w:szCs w:val="28"/>
        </w:rPr>
        <w:t>.02.2021</w:t>
      </w:r>
      <w:r w:rsidRPr="005A4EB9">
        <w:rPr>
          <w:color w:val="000000"/>
          <w:sz w:val="28"/>
          <w:szCs w:val="28"/>
        </w:rPr>
        <w:t>).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8. </w:t>
      </w:r>
      <w:proofErr w:type="spellStart"/>
      <w:r w:rsidRPr="005A4EB9">
        <w:rPr>
          <w:color w:val="000000"/>
          <w:sz w:val="28"/>
          <w:szCs w:val="28"/>
        </w:rPr>
        <w:t>Заводчикова</w:t>
      </w:r>
      <w:proofErr w:type="spellEnd"/>
      <w:r w:rsidRPr="005A4EB9">
        <w:rPr>
          <w:color w:val="000000"/>
          <w:sz w:val="28"/>
          <w:szCs w:val="28"/>
        </w:rPr>
        <w:t xml:space="preserve"> Н. И., Плясунова У. В. Средства формирования и характеристики методических компетенций будущих учителей информатики средней школы // Ярославский педагогический вестник. 2015. № 6. С. 102-107.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9. Захарова Т. Б., Захаров А. С. Роль и место дисциплины «Методика обучения информатике» в подготовке будущего учителя информатики // Преподаватель XXI век. 2015. № 4. С. 75-86.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10. Ивкина Л. М. Кластерная модель методической подготовки будущего учителя информатики // Вестник Красноярского государственного педагогического университета им. В. П. Астафьева. 2017. № 2. С. 66-69.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11. </w:t>
      </w:r>
      <w:proofErr w:type="spellStart"/>
      <w:r w:rsidRPr="005A4EB9">
        <w:rPr>
          <w:color w:val="000000"/>
          <w:sz w:val="28"/>
          <w:szCs w:val="28"/>
        </w:rPr>
        <w:t>Крутова</w:t>
      </w:r>
      <w:proofErr w:type="spellEnd"/>
      <w:r w:rsidRPr="005A4EB9">
        <w:rPr>
          <w:color w:val="000000"/>
          <w:sz w:val="28"/>
          <w:szCs w:val="28"/>
        </w:rPr>
        <w:t xml:space="preserve"> И. А., </w:t>
      </w:r>
      <w:proofErr w:type="spellStart"/>
      <w:r w:rsidRPr="005A4EB9">
        <w:rPr>
          <w:color w:val="000000"/>
          <w:sz w:val="28"/>
          <w:szCs w:val="28"/>
        </w:rPr>
        <w:t>Стефанова</w:t>
      </w:r>
      <w:proofErr w:type="spellEnd"/>
      <w:r w:rsidRPr="005A4EB9">
        <w:rPr>
          <w:color w:val="000000"/>
          <w:sz w:val="28"/>
          <w:szCs w:val="28"/>
        </w:rPr>
        <w:t xml:space="preserve"> Г П. Методическая подготовка студентов к решению профессиональных задач учителя при обучении в вузе // Преподаватель XXI век. 2014. № 3. С. 99-105.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12. Кувшинова Е. Н. Подготовка будущих учителей информатики к разработке технологических карт уроков в условиях реализации Федеральных государственных образовательных стандартов основного общего образования // Вестник РУДН. Сер. Информатизация образования. 2017. № 1. С. 24-33.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13. Лазарев В. С. Ключевые проблемы модернизации педагогического образования // Педагогическое образование и наука. 2017. № 4. С. 7-15.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14. Лукша П., Кубиста Дж., </w:t>
      </w:r>
      <w:proofErr w:type="spellStart"/>
      <w:r w:rsidRPr="005A4EB9">
        <w:rPr>
          <w:color w:val="000000"/>
          <w:sz w:val="28"/>
          <w:szCs w:val="28"/>
        </w:rPr>
        <w:t>Ласло</w:t>
      </w:r>
      <w:proofErr w:type="spellEnd"/>
      <w:r w:rsidRPr="005A4EB9">
        <w:rPr>
          <w:color w:val="000000"/>
          <w:sz w:val="28"/>
          <w:szCs w:val="28"/>
        </w:rPr>
        <w:t xml:space="preserve"> А., Попович М. Образование для сложного общества [Электронный ресурс] // Доклад </w:t>
      </w:r>
      <w:proofErr w:type="spellStart"/>
      <w:r w:rsidRPr="005A4EB9">
        <w:rPr>
          <w:color w:val="000000"/>
          <w:sz w:val="28"/>
          <w:szCs w:val="28"/>
        </w:rPr>
        <w:t>Global</w:t>
      </w:r>
      <w:proofErr w:type="spellEnd"/>
      <w:r w:rsidRPr="005A4EB9">
        <w:rPr>
          <w:color w:val="000000"/>
          <w:sz w:val="28"/>
          <w:szCs w:val="28"/>
        </w:rPr>
        <w:t xml:space="preserve"> </w:t>
      </w:r>
      <w:proofErr w:type="spellStart"/>
      <w:r w:rsidRPr="005A4EB9">
        <w:rPr>
          <w:color w:val="000000"/>
          <w:sz w:val="28"/>
          <w:szCs w:val="28"/>
        </w:rPr>
        <w:t>Education</w:t>
      </w:r>
      <w:proofErr w:type="spellEnd"/>
      <w:r w:rsidRPr="005A4EB9">
        <w:rPr>
          <w:color w:val="000000"/>
          <w:sz w:val="28"/>
          <w:szCs w:val="28"/>
        </w:rPr>
        <w:t xml:space="preserve"> </w:t>
      </w:r>
      <w:proofErr w:type="spellStart"/>
      <w:r w:rsidRPr="005A4EB9">
        <w:rPr>
          <w:color w:val="000000"/>
          <w:sz w:val="28"/>
          <w:szCs w:val="28"/>
        </w:rPr>
        <w:t>Futures</w:t>
      </w:r>
      <w:proofErr w:type="spellEnd"/>
      <w:r w:rsidRPr="005A4EB9">
        <w:rPr>
          <w:color w:val="000000"/>
          <w:sz w:val="28"/>
          <w:szCs w:val="28"/>
        </w:rPr>
        <w:t xml:space="preserve">. </w:t>
      </w:r>
      <w:r w:rsidRPr="005A4EB9">
        <w:rPr>
          <w:color w:val="000000"/>
          <w:sz w:val="28"/>
          <w:szCs w:val="28"/>
        </w:rPr>
        <w:lastRenderedPageBreak/>
        <w:t xml:space="preserve">2018. Режим доступа: https://www.futuref.org/ </w:t>
      </w:r>
      <w:proofErr w:type="spellStart"/>
      <w:r w:rsidRPr="005A4EB9">
        <w:rPr>
          <w:color w:val="000000"/>
          <w:sz w:val="28"/>
          <w:szCs w:val="28"/>
        </w:rPr>
        <w:t>educationfuture</w:t>
      </w:r>
      <w:r>
        <w:rPr>
          <w:color w:val="000000"/>
          <w:sz w:val="28"/>
          <w:szCs w:val="28"/>
        </w:rPr>
        <w:t>s_ru</w:t>
      </w:r>
      <w:proofErr w:type="spellEnd"/>
      <w:r>
        <w:rPr>
          <w:color w:val="000000"/>
          <w:sz w:val="28"/>
          <w:szCs w:val="28"/>
        </w:rPr>
        <w:t xml:space="preserve"> (дата обращения: 06.02.2021</w:t>
      </w:r>
      <w:r w:rsidRPr="005A4EB9">
        <w:rPr>
          <w:color w:val="000000"/>
          <w:sz w:val="28"/>
          <w:szCs w:val="28"/>
        </w:rPr>
        <w:t>).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>15. Садыкова О. В. Методические подходы формирования проектировочного компонента профессиональных компетенций будущих учителей информатики // Современные исследования социальных проблем. 2017. № 4-2. С. 280-283.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16. </w:t>
      </w:r>
      <w:proofErr w:type="spellStart"/>
      <w:r w:rsidRPr="005A4EB9">
        <w:rPr>
          <w:color w:val="000000"/>
          <w:sz w:val="28"/>
          <w:szCs w:val="28"/>
        </w:rPr>
        <w:t>Шастун</w:t>
      </w:r>
      <w:proofErr w:type="spellEnd"/>
      <w:r w:rsidRPr="005A4EB9">
        <w:rPr>
          <w:color w:val="000000"/>
          <w:sz w:val="28"/>
          <w:szCs w:val="28"/>
        </w:rPr>
        <w:t xml:space="preserve"> Т. А. Формирование специально-технологических компетенций учителя информатики в вузе // Крымский научный вестник. 2017. № 2-3. С. 83-93.</w:t>
      </w:r>
    </w:p>
    <w:p w:rsidR="005A4EB9" w:rsidRPr="005A4EB9" w:rsidRDefault="005A4EB9" w:rsidP="005A4EB9">
      <w:pPr>
        <w:pStyle w:val="a3"/>
        <w:spacing w:before="150" w:beforeAutospacing="0" w:after="0" w:afterAutospacing="0"/>
        <w:ind w:firstLine="851"/>
        <w:jc w:val="both"/>
        <w:textAlignment w:val="top"/>
        <w:rPr>
          <w:color w:val="000000"/>
          <w:sz w:val="28"/>
          <w:szCs w:val="28"/>
        </w:rPr>
      </w:pPr>
      <w:r w:rsidRPr="005A4EB9">
        <w:rPr>
          <w:color w:val="000000"/>
          <w:sz w:val="28"/>
          <w:szCs w:val="28"/>
        </w:rPr>
        <w:t xml:space="preserve">17. Фрумин И. Д., </w:t>
      </w:r>
      <w:proofErr w:type="spellStart"/>
      <w:r w:rsidRPr="005A4EB9">
        <w:rPr>
          <w:color w:val="000000"/>
          <w:sz w:val="28"/>
          <w:szCs w:val="28"/>
        </w:rPr>
        <w:t>Добрякова</w:t>
      </w:r>
      <w:proofErr w:type="spellEnd"/>
      <w:r w:rsidRPr="005A4EB9">
        <w:rPr>
          <w:color w:val="000000"/>
          <w:sz w:val="28"/>
          <w:szCs w:val="28"/>
        </w:rPr>
        <w:t xml:space="preserve"> М. С., Баранников К. А., Реморенко И. М. Универсальные компетентности и новая грамотность: чему учить сегодня для успеха завтра. Предварительные выводы международного доклада о тенденциях трансформации школьного образования. М.: НИУ ВШЭ, 2018. 28 с.</w:t>
      </w:r>
    </w:p>
    <w:p w:rsidR="005A4EB9" w:rsidRPr="005A4EB9" w:rsidRDefault="005A4EB9" w:rsidP="005A4EB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5A4EB9" w:rsidRPr="005A4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3403"/>
    <w:multiLevelType w:val="multilevel"/>
    <w:tmpl w:val="39E2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2E1D77"/>
    <w:multiLevelType w:val="hybridMultilevel"/>
    <w:tmpl w:val="0CA09A46"/>
    <w:lvl w:ilvl="0" w:tplc="1794F6F4">
      <w:start w:val="1"/>
      <w:numFmt w:val="bullet"/>
      <w:lvlText w:val="-"/>
      <w:lvlJc w:val="left"/>
      <w:pPr>
        <w:tabs>
          <w:tab w:val="num" w:pos="1316"/>
        </w:tabs>
        <w:ind w:left="1316" w:hanging="360"/>
      </w:pPr>
      <w:rPr>
        <w:rFonts w:ascii="Arial" w:hAnsi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685DDE"/>
    <w:multiLevelType w:val="multilevel"/>
    <w:tmpl w:val="C4BA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9A1CC7"/>
    <w:multiLevelType w:val="multilevel"/>
    <w:tmpl w:val="49DCF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637502"/>
    <w:multiLevelType w:val="multilevel"/>
    <w:tmpl w:val="33F00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524EE3"/>
    <w:multiLevelType w:val="multilevel"/>
    <w:tmpl w:val="1F86A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7F6740"/>
    <w:multiLevelType w:val="multilevel"/>
    <w:tmpl w:val="7AA8D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7848FC"/>
    <w:multiLevelType w:val="multilevel"/>
    <w:tmpl w:val="4474A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C119CE"/>
    <w:multiLevelType w:val="multilevel"/>
    <w:tmpl w:val="753A9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0D077A"/>
    <w:multiLevelType w:val="multilevel"/>
    <w:tmpl w:val="FE025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701D76"/>
    <w:multiLevelType w:val="multilevel"/>
    <w:tmpl w:val="BD68C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393407"/>
    <w:multiLevelType w:val="multilevel"/>
    <w:tmpl w:val="4474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655EA"/>
    <w:multiLevelType w:val="multilevel"/>
    <w:tmpl w:val="66240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7901F1"/>
    <w:multiLevelType w:val="hybridMultilevel"/>
    <w:tmpl w:val="775C8110"/>
    <w:lvl w:ilvl="0" w:tplc="6A9A338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C324AD"/>
    <w:multiLevelType w:val="multilevel"/>
    <w:tmpl w:val="7AF6A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6C631D"/>
    <w:multiLevelType w:val="multilevel"/>
    <w:tmpl w:val="3820A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51C745A"/>
    <w:multiLevelType w:val="multilevel"/>
    <w:tmpl w:val="081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565558"/>
    <w:multiLevelType w:val="multilevel"/>
    <w:tmpl w:val="A88C8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6D0E19"/>
    <w:multiLevelType w:val="multilevel"/>
    <w:tmpl w:val="FD30E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E730A6"/>
    <w:multiLevelType w:val="multilevel"/>
    <w:tmpl w:val="2F0EA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0C0D40"/>
    <w:multiLevelType w:val="multilevel"/>
    <w:tmpl w:val="E14CD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E6232E9"/>
    <w:multiLevelType w:val="multilevel"/>
    <w:tmpl w:val="BEBA6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C43C13"/>
    <w:multiLevelType w:val="multilevel"/>
    <w:tmpl w:val="AC9C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D7652C"/>
    <w:multiLevelType w:val="hybridMultilevel"/>
    <w:tmpl w:val="46661CAC"/>
    <w:lvl w:ilvl="0" w:tplc="1794F6F4">
      <w:start w:val="1"/>
      <w:numFmt w:val="bullet"/>
      <w:lvlText w:val="-"/>
      <w:lvlJc w:val="left"/>
      <w:pPr>
        <w:tabs>
          <w:tab w:val="num" w:pos="1316"/>
        </w:tabs>
        <w:ind w:left="1316" w:hanging="360"/>
      </w:pPr>
      <w:rPr>
        <w:rFonts w:ascii="Arial" w:hAnsi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5642A"/>
    <w:multiLevelType w:val="multilevel"/>
    <w:tmpl w:val="DF4AB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A76C8A"/>
    <w:multiLevelType w:val="hybridMultilevel"/>
    <w:tmpl w:val="6AE09DB2"/>
    <w:lvl w:ilvl="0" w:tplc="1794F6F4">
      <w:start w:val="1"/>
      <w:numFmt w:val="bullet"/>
      <w:lvlText w:val="-"/>
      <w:lvlJc w:val="left"/>
      <w:pPr>
        <w:tabs>
          <w:tab w:val="num" w:pos="1316"/>
        </w:tabs>
        <w:ind w:left="1316" w:hanging="360"/>
      </w:pPr>
      <w:rPr>
        <w:rFonts w:ascii="Arial" w:hAnsi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6C084B"/>
    <w:multiLevelType w:val="multilevel"/>
    <w:tmpl w:val="B1C0B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001E1D"/>
    <w:multiLevelType w:val="multilevel"/>
    <w:tmpl w:val="01C89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FC1D40"/>
    <w:multiLevelType w:val="multilevel"/>
    <w:tmpl w:val="99746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5"/>
  </w:num>
  <w:num w:numId="3">
    <w:abstractNumId w:val="23"/>
  </w:num>
  <w:num w:numId="4">
    <w:abstractNumId w:val="13"/>
  </w:num>
  <w:num w:numId="5">
    <w:abstractNumId w:val="17"/>
  </w:num>
  <w:num w:numId="6">
    <w:abstractNumId w:val="26"/>
  </w:num>
  <w:num w:numId="7">
    <w:abstractNumId w:val="7"/>
  </w:num>
  <w:num w:numId="8">
    <w:abstractNumId w:val="14"/>
  </w:num>
  <w:num w:numId="9">
    <w:abstractNumId w:val="4"/>
  </w:num>
  <w:num w:numId="10">
    <w:abstractNumId w:val="21"/>
  </w:num>
  <w:num w:numId="11">
    <w:abstractNumId w:val="27"/>
  </w:num>
  <w:num w:numId="12">
    <w:abstractNumId w:val="12"/>
  </w:num>
  <w:num w:numId="13">
    <w:abstractNumId w:val="3"/>
  </w:num>
  <w:num w:numId="14">
    <w:abstractNumId w:val="9"/>
  </w:num>
  <w:num w:numId="15">
    <w:abstractNumId w:val="16"/>
  </w:num>
  <w:num w:numId="16">
    <w:abstractNumId w:val="5"/>
  </w:num>
  <w:num w:numId="17">
    <w:abstractNumId w:val="8"/>
  </w:num>
  <w:num w:numId="18">
    <w:abstractNumId w:val="24"/>
  </w:num>
  <w:num w:numId="19">
    <w:abstractNumId w:val="22"/>
  </w:num>
  <w:num w:numId="20">
    <w:abstractNumId w:val="0"/>
  </w:num>
  <w:num w:numId="21">
    <w:abstractNumId w:val="6"/>
  </w:num>
  <w:num w:numId="22">
    <w:abstractNumId w:val="19"/>
  </w:num>
  <w:num w:numId="23">
    <w:abstractNumId w:val="11"/>
  </w:num>
  <w:num w:numId="24">
    <w:abstractNumId w:val="2"/>
  </w:num>
  <w:num w:numId="25">
    <w:abstractNumId w:val="18"/>
  </w:num>
  <w:num w:numId="26">
    <w:abstractNumId w:val="10"/>
  </w:num>
  <w:num w:numId="27">
    <w:abstractNumId w:val="28"/>
  </w:num>
  <w:num w:numId="28">
    <w:abstractNumId w:val="20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8A1"/>
    <w:rsid w:val="005A4EB9"/>
    <w:rsid w:val="0069182E"/>
    <w:rsid w:val="007D78A1"/>
    <w:rsid w:val="00831F4A"/>
    <w:rsid w:val="00D423F2"/>
    <w:rsid w:val="00E84D82"/>
    <w:rsid w:val="00F70853"/>
    <w:rsid w:val="00F7622B"/>
    <w:rsid w:val="00F8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211B9"/>
  <w15:chartTrackingRefBased/>
  <w15:docId w15:val="{F62E9862-C211-4C11-A087-BD6568F59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84D82"/>
    <w:rPr>
      <w:i/>
      <w:iCs/>
    </w:rPr>
  </w:style>
  <w:style w:type="character" w:styleId="a5">
    <w:name w:val="Strong"/>
    <w:basedOn w:val="a0"/>
    <w:uiPriority w:val="22"/>
    <w:qFormat/>
    <w:rsid w:val="00E84D82"/>
    <w:rPr>
      <w:b/>
      <w:bCs/>
    </w:rPr>
  </w:style>
  <w:style w:type="character" w:customStyle="1" w:styleId="hl">
    <w:name w:val="hl"/>
    <w:basedOn w:val="a0"/>
    <w:rsid w:val="005A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1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2773</Words>
  <Characters>15809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ГДВ</dc:creator>
  <cp:keywords/>
  <dc:description/>
  <cp:lastModifiedBy>ГДВ</cp:lastModifiedBy>
  <cp:revision>10</cp:revision>
  <dcterms:created xsi:type="dcterms:W3CDTF">2019-11-10T01:55:00Z</dcterms:created>
  <dcterms:modified xsi:type="dcterms:W3CDTF">2021-02-06T00:40:00Z</dcterms:modified>
</cp:coreProperties>
</file>