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2E" w:rsidRPr="00FB224C" w:rsidRDefault="00E8752E" w:rsidP="00F624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24C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Саха (Якутия)</w:t>
      </w:r>
    </w:p>
    <w:p w:rsidR="00E8752E" w:rsidRPr="00FB224C" w:rsidRDefault="00E8752E" w:rsidP="00F624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24C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E8752E" w:rsidRPr="00FB224C" w:rsidRDefault="00E8752E" w:rsidP="00F624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24C"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</w:p>
    <w:p w:rsidR="00E8752E" w:rsidRPr="00FB224C" w:rsidRDefault="00E8752E" w:rsidP="00F624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24C">
        <w:rPr>
          <w:rFonts w:ascii="Times New Roman" w:hAnsi="Times New Roman" w:cs="Times New Roman"/>
          <w:b/>
          <w:sz w:val="24"/>
          <w:szCs w:val="24"/>
        </w:rPr>
        <w:t>«Южно-Якутский технологический колледж»</w:t>
      </w:r>
    </w:p>
    <w:p w:rsidR="00B81558" w:rsidRDefault="00B81558" w:rsidP="00F62475">
      <w:pPr>
        <w:spacing w:after="0" w:line="360" w:lineRule="auto"/>
      </w:pPr>
    </w:p>
    <w:p w:rsidR="00E8752E" w:rsidRDefault="00E8752E" w:rsidP="00F62475">
      <w:pPr>
        <w:spacing w:after="0" w:line="360" w:lineRule="auto"/>
      </w:pPr>
    </w:p>
    <w:p w:rsidR="00E8752E" w:rsidRPr="00E8752E" w:rsidRDefault="00E8752E" w:rsidP="00F62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752E">
        <w:rPr>
          <w:rFonts w:ascii="Times New Roman" w:hAnsi="Times New Roman" w:cs="Times New Roman"/>
          <w:b/>
          <w:bCs/>
          <w:sz w:val="24"/>
          <w:szCs w:val="24"/>
        </w:rPr>
        <w:t>РАЗВИТИЕ ВЫСОКОСКОРОСТНЫХ МАГИСТРАЛЕЙ В РОССИИ</w:t>
      </w:r>
    </w:p>
    <w:bookmarkEnd w:id="0"/>
    <w:p w:rsidR="00E8752E" w:rsidRDefault="00E8752E" w:rsidP="00F62475">
      <w:pPr>
        <w:spacing w:after="0" w:line="360" w:lineRule="auto"/>
      </w:pPr>
    </w:p>
    <w:p w:rsidR="00E8752E" w:rsidRDefault="00E8752E" w:rsidP="00F62475">
      <w:pPr>
        <w:spacing w:after="0" w:line="360" w:lineRule="auto"/>
      </w:pPr>
    </w:p>
    <w:p w:rsidR="00E8752E" w:rsidRPr="00E8752E" w:rsidRDefault="00E8752E" w:rsidP="00F6247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52E">
        <w:rPr>
          <w:rFonts w:ascii="Times New Roman" w:hAnsi="Times New Roman" w:cs="Times New Roman"/>
          <w:b/>
          <w:bCs/>
          <w:sz w:val="24"/>
          <w:szCs w:val="24"/>
        </w:rPr>
        <w:t xml:space="preserve">Автор: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Василенко Юлия Константиновна, группа ОПиУ22(9)</w:t>
      </w:r>
    </w:p>
    <w:p w:rsidR="00E8752E" w:rsidRDefault="00E8752E" w:rsidP="00F6247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52E">
        <w:rPr>
          <w:rFonts w:ascii="Times New Roman" w:hAnsi="Times New Roman" w:cs="Times New Roman"/>
          <w:b/>
          <w:bCs/>
          <w:sz w:val="24"/>
          <w:szCs w:val="24"/>
        </w:rPr>
        <w:t>Нау</w:t>
      </w:r>
      <w:r w:rsidR="00F62475">
        <w:rPr>
          <w:rFonts w:ascii="Times New Roman" w:hAnsi="Times New Roman" w:cs="Times New Roman"/>
          <w:b/>
          <w:bCs/>
          <w:sz w:val="24"/>
          <w:szCs w:val="24"/>
        </w:rPr>
        <w:t xml:space="preserve">чный руководитель: </w:t>
      </w:r>
      <w:proofErr w:type="spellStart"/>
      <w:r w:rsidR="00F62475">
        <w:rPr>
          <w:rFonts w:ascii="Times New Roman" w:hAnsi="Times New Roman" w:cs="Times New Roman"/>
          <w:b/>
          <w:bCs/>
          <w:sz w:val="24"/>
          <w:szCs w:val="24"/>
        </w:rPr>
        <w:t>Заболотских</w:t>
      </w:r>
      <w:proofErr w:type="spellEnd"/>
      <w:r w:rsidR="00F62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Нина Ивановна</w:t>
      </w:r>
      <w:r w:rsidRPr="00E8752E">
        <w:rPr>
          <w:rFonts w:ascii="Times New Roman" w:hAnsi="Times New Roman" w:cs="Times New Roman"/>
          <w:b/>
          <w:bCs/>
          <w:sz w:val="24"/>
          <w:szCs w:val="24"/>
        </w:rPr>
        <w:t>, преподаватель.</w:t>
      </w:r>
    </w:p>
    <w:p w:rsidR="00E8752E" w:rsidRDefault="00E8752E" w:rsidP="00F6247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52E" w:rsidRPr="00E8752E" w:rsidRDefault="00E8752E" w:rsidP="00F6247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52E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E8752E" w:rsidRPr="00E8752E" w:rsidRDefault="00E8752E" w:rsidP="00F6247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52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работе</w:t>
      </w:r>
      <w:r w:rsidRPr="00E8752E">
        <w:rPr>
          <w:rFonts w:ascii="Times New Roman" w:hAnsi="Times New Roman" w:cs="Times New Roman"/>
          <w:bCs/>
          <w:sz w:val="24"/>
          <w:szCs w:val="24"/>
        </w:rPr>
        <w:t xml:space="preserve"> рассматривается вопрос о внедрении высокоскоростных железнодорожных магистралей как принципиально нового продукта на российском рынке транспортных услуг, который будет обеспечивать высокую конкурентоспособность железнодорожных перевозок пассажиров перед основными конкурентами, а именно воздушным и автомобильным транспортом.   </w:t>
      </w:r>
    </w:p>
    <w:p w:rsidR="00E8752E" w:rsidRPr="00E8752E" w:rsidRDefault="00E8752E" w:rsidP="00F6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752E" w:rsidRPr="00E8752E" w:rsidRDefault="00E8752E" w:rsidP="00F6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52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8752E">
        <w:t xml:space="preserve"> </w:t>
      </w:r>
      <w:r w:rsidRPr="00E8752E">
        <w:rPr>
          <w:rFonts w:ascii="Times New Roman" w:hAnsi="Times New Roman" w:cs="Times New Roman"/>
          <w:bCs/>
          <w:sz w:val="24"/>
          <w:szCs w:val="24"/>
        </w:rPr>
        <w:t>Рассмотрение перспектив развития высокоскоростных железнодорожных магистралей (ВСМ) в России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8752E" w:rsidRDefault="00E8752E" w:rsidP="00F62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52E" w:rsidRDefault="00E8752E" w:rsidP="00F62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52E" w:rsidRDefault="00E8752E" w:rsidP="00F62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52E" w:rsidRDefault="00E8752E" w:rsidP="00F62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52E" w:rsidRDefault="00E8752E" w:rsidP="00F62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52E" w:rsidRDefault="00E8752E" w:rsidP="00F62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52E" w:rsidRDefault="00E8752E" w:rsidP="00F62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52E" w:rsidRDefault="00E8752E" w:rsidP="00F62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52E" w:rsidRDefault="00E8752E" w:rsidP="00F62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2475" w:rsidRDefault="00F62475" w:rsidP="00F62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62475" w:rsidRDefault="00F62475" w:rsidP="00F62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52E" w:rsidRDefault="00E8752E" w:rsidP="00F624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5829" w:rsidRPr="00F62475" w:rsidRDefault="00E8752E" w:rsidP="00F624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52E">
        <w:rPr>
          <w:rFonts w:ascii="Times New Roman" w:hAnsi="Times New Roman" w:cs="Times New Roman"/>
          <w:sz w:val="24"/>
          <w:szCs w:val="24"/>
        </w:rPr>
        <w:t>г. Нерюнгри, 2023 год</w:t>
      </w:r>
    </w:p>
    <w:p w:rsidR="00F62475" w:rsidRDefault="00F62475" w:rsidP="00F624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75" w:rsidRDefault="00F62475" w:rsidP="00F624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75" w:rsidRDefault="00F62475" w:rsidP="00F624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475" w:rsidRDefault="00F62475" w:rsidP="00F624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2E" w:rsidRDefault="00E8752E" w:rsidP="00F624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2E">
        <w:rPr>
          <w:rFonts w:ascii="Times New Roman" w:hAnsi="Times New Roman" w:cs="Times New Roman"/>
          <w:b/>
          <w:sz w:val="24"/>
          <w:szCs w:val="24"/>
        </w:rPr>
        <w:lastRenderedPageBreak/>
        <w:t>НАУЧНАЯ СТАТЬЯ</w:t>
      </w:r>
    </w:p>
    <w:p w:rsidR="00E8752E" w:rsidRDefault="00E8752E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52E">
        <w:rPr>
          <w:rFonts w:ascii="Times New Roman" w:hAnsi="Times New Roman" w:cs="Times New Roman"/>
          <w:sz w:val="24"/>
          <w:szCs w:val="24"/>
        </w:rPr>
        <w:t xml:space="preserve">Идеи строительства в России специализированных высокоскоростных железнодорожных магистралей стали высказываться в конце 1960-х годов. В1969—1974 </w:t>
      </w:r>
      <w:proofErr w:type="gramStart"/>
      <w:r w:rsidRPr="00E8752E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E8752E">
        <w:rPr>
          <w:rFonts w:ascii="Times New Roman" w:hAnsi="Times New Roman" w:cs="Times New Roman"/>
          <w:sz w:val="24"/>
          <w:szCs w:val="24"/>
        </w:rPr>
        <w:t xml:space="preserve"> ряд научно-исследовательских и проектных организаций провели комплекс работ по изучению дальнейших путей повышения скоростей движения на железных дорогах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52E" w:rsidRPr="00E8752E" w:rsidRDefault="00E8752E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52E">
        <w:rPr>
          <w:rFonts w:ascii="Times New Roman" w:hAnsi="Times New Roman" w:cs="Times New Roman"/>
          <w:sz w:val="24"/>
          <w:szCs w:val="24"/>
        </w:rPr>
        <w:t>В 1987 году было начато проектирование магистралей для скоростей 300—350 км/ч. Проект предполагал строительство высокоскоростной магистрали на участке Ленинград — Москва.</w:t>
      </w:r>
    </w:p>
    <w:p w:rsidR="00E8752E" w:rsidRPr="00E8752E" w:rsidRDefault="00E8752E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52E">
        <w:rPr>
          <w:rFonts w:ascii="Times New Roman" w:hAnsi="Times New Roman" w:cs="Times New Roman"/>
          <w:sz w:val="24"/>
          <w:szCs w:val="24"/>
        </w:rPr>
        <w:t>При строительстве дороги предполагалось использовать терм упроченные рельсы марки Р65 с повышенной твердостью поверхности катания, сваренные в плети длиной вплоть до нескольких сот километров и даже неограниченной длины. Реализация скоростей до 350 км/ч требовала ограничения радиуса кривых в плане не менее 7000 м, уклонов в профиле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2E">
        <w:rPr>
          <w:rFonts w:ascii="Times New Roman" w:hAnsi="Times New Roman" w:cs="Times New Roman"/>
          <w:sz w:val="24"/>
          <w:szCs w:val="24"/>
        </w:rPr>
        <w:t>24 ‰, упругой осадки насыпи под проходящим поездом — не более 1,5 мм. Ширина междупутья — 4,5 м ширина земляного полотна — до 13,8 м</w:t>
      </w:r>
    </w:p>
    <w:p w:rsidR="00695829" w:rsidRPr="00695829" w:rsidRDefault="0069582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829">
        <w:rPr>
          <w:rFonts w:ascii="Times New Roman" w:hAnsi="Times New Roman" w:cs="Times New Roman"/>
          <w:sz w:val="24"/>
          <w:szCs w:val="24"/>
        </w:rPr>
        <w:t>Сообщение по трассе планировалось организовать отечественными высокоскоростными поездами «Сокол-250». Однако работы по реализации проекта не были начаты из-за отсутствия финансирования.</w:t>
      </w:r>
    </w:p>
    <w:p w:rsidR="00695829" w:rsidRPr="00695829" w:rsidRDefault="0069582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829">
        <w:rPr>
          <w:rFonts w:ascii="Times New Roman" w:hAnsi="Times New Roman" w:cs="Times New Roman"/>
          <w:sz w:val="24"/>
          <w:szCs w:val="24"/>
        </w:rPr>
        <w:t>В 2004 году министр транспорта РФ И.Е.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829">
        <w:rPr>
          <w:rFonts w:ascii="Times New Roman" w:hAnsi="Times New Roman" w:cs="Times New Roman"/>
          <w:sz w:val="24"/>
          <w:szCs w:val="24"/>
        </w:rPr>
        <w:t>Левитин выступил с</w:t>
      </w:r>
      <w:r w:rsidRPr="00695829">
        <w:t xml:space="preserve"> </w:t>
      </w:r>
      <w:r w:rsidRPr="00695829">
        <w:rPr>
          <w:rFonts w:ascii="Times New Roman" w:hAnsi="Times New Roman" w:cs="Times New Roman"/>
          <w:sz w:val="24"/>
          <w:szCs w:val="24"/>
        </w:rPr>
        <w:t>инициативой возобновления строительства отдельной высокоскоростной магистрали. Предложение было поддержано Президентом ОАО «Российские железные дороги»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829">
        <w:rPr>
          <w:rFonts w:ascii="Times New Roman" w:hAnsi="Times New Roman" w:cs="Times New Roman"/>
          <w:sz w:val="24"/>
          <w:szCs w:val="24"/>
        </w:rPr>
        <w:t>Якуниным. В 2006 году для осуществления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829">
        <w:rPr>
          <w:rFonts w:ascii="Times New Roman" w:hAnsi="Times New Roman" w:cs="Times New Roman"/>
          <w:sz w:val="24"/>
          <w:szCs w:val="24"/>
        </w:rPr>
        <w:t>«Российские железные дороги» и «Трансмаш холдинг» создали новую компанию — ОАО «Скоростные магистрали».</w:t>
      </w:r>
    </w:p>
    <w:p w:rsidR="00695829" w:rsidRDefault="0069582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829">
        <w:rPr>
          <w:rFonts w:ascii="Times New Roman" w:hAnsi="Times New Roman" w:cs="Times New Roman"/>
          <w:sz w:val="24"/>
          <w:szCs w:val="24"/>
        </w:rPr>
        <w:t xml:space="preserve">В декабре 2009 года Россия вступила в клуб стран, обладающих высокоскоростными магистралями. </w:t>
      </w:r>
    </w:p>
    <w:p w:rsidR="00695829" w:rsidRDefault="0069582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829">
        <w:rPr>
          <w:rFonts w:ascii="Times New Roman" w:hAnsi="Times New Roman" w:cs="Times New Roman"/>
          <w:sz w:val="24"/>
          <w:szCs w:val="24"/>
        </w:rPr>
        <w:t>Сегодня это – Россия, Бельгия, Франция, Германия, Италия, Испания, Швейцария, Великобритания, Китай, Япония, Корея, Турция.</w:t>
      </w:r>
      <w:proofErr w:type="gramEnd"/>
    </w:p>
    <w:p w:rsidR="00695829" w:rsidRPr="00695829" w:rsidRDefault="0069582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829">
        <w:rPr>
          <w:rFonts w:ascii="Times New Roman" w:hAnsi="Times New Roman" w:cs="Times New Roman"/>
          <w:sz w:val="24"/>
          <w:szCs w:val="24"/>
        </w:rPr>
        <w:t>Для организации высокоскоростного движения необходимо создать особую инфраструктуру</w:t>
      </w:r>
      <w:r w:rsidR="00F62475">
        <w:rPr>
          <w:rFonts w:ascii="Times New Roman" w:hAnsi="Times New Roman" w:cs="Times New Roman"/>
          <w:sz w:val="24"/>
          <w:szCs w:val="24"/>
        </w:rPr>
        <w:t>.</w:t>
      </w:r>
    </w:p>
    <w:p w:rsidR="00695829" w:rsidRDefault="0069582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829">
        <w:rPr>
          <w:rFonts w:ascii="Times New Roman" w:hAnsi="Times New Roman" w:cs="Times New Roman"/>
          <w:sz w:val="24"/>
          <w:szCs w:val="24"/>
        </w:rPr>
        <w:t xml:space="preserve">В качестве основного варианта принят вариант с устройством верхнего строения пути на щебеночном балласте и бесстыковой путь на железобетонных шпалах или плитном основании. </w:t>
      </w:r>
      <w:proofErr w:type="gramStart"/>
      <w:r w:rsidRPr="00695829">
        <w:rPr>
          <w:rFonts w:ascii="Times New Roman" w:hAnsi="Times New Roman" w:cs="Times New Roman"/>
          <w:sz w:val="24"/>
          <w:szCs w:val="24"/>
        </w:rPr>
        <w:t>Для снижения шума и вибрации от подвижного состава на участках близкого расположения жилых массивов под щебеночный балласт в уровне основной площадки производится укладка демпфирующих матов толщиной 2 см. Ширина двухпутного земляного полотна на прямых участках пути составляет — 13,3 м при ширине между путного расстояния — 4,8 м. Электрификация — переменный ток 25 кВ. На входных участках в Москву и Санкт-Петербург —3 кВ</w:t>
      </w:r>
      <w:proofErr w:type="gramEnd"/>
      <w:r w:rsidRPr="00695829">
        <w:rPr>
          <w:rFonts w:ascii="Times New Roman" w:hAnsi="Times New Roman" w:cs="Times New Roman"/>
          <w:sz w:val="24"/>
          <w:szCs w:val="24"/>
        </w:rPr>
        <w:t>, постоянный ток.</w:t>
      </w:r>
    </w:p>
    <w:p w:rsidR="00695829" w:rsidRDefault="0069582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84A4D12" wp14:editId="657B8AD9">
            <wp:extent cx="4428461" cy="1943100"/>
            <wp:effectExtent l="0" t="0" r="0" b="0"/>
            <wp:docPr id="1" name="Рисунок 1" descr="C:\Users\Преподаватель\Desktop\als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\Desktop\alst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480" cy="194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829" w:rsidRPr="00695829" w:rsidRDefault="0069582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</w:t>
      </w:r>
      <w:r w:rsidRPr="00695829">
        <w:rPr>
          <w:rFonts w:ascii="Times New Roman" w:hAnsi="Times New Roman" w:cs="Times New Roman"/>
          <w:sz w:val="24"/>
          <w:szCs w:val="24"/>
        </w:rPr>
        <w:t>Плитное основание верхнего строения пути</w:t>
      </w:r>
    </w:p>
    <w:p w:rsidR="00695829" w:rsidRPr="00695829" w:rsidRDefault="0069582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829">
        <w:rPr>
          <w:rFonts w:ascii="Times New Roman" w:hAnsi="Times New Roman" w:cs="Times New Roman"/>
          <w:sz w:val="24"/>
          <w:szCs w:val="24"/>
        </w:rPr>
        <w:t>В конструкциях без балластного пути самый слабый элемент классического пути, балласт, заменен равномерно распределяющей нагрузку несущей плитой из бетона или асфальта, на которую с применением упругих элементов укладываются рельсы. Основным преимуществом без балластного пути является значительное сокращение объема работ по текущему содержанию.</w:t>
      </w:r>
    </w:p>
    <w:p w:rsidR="00695829" w:rsidRDefault="0069582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5829">
        <w:rPr>
          <w:rFonts w:ascii="Times New Roman" w:hAnsi="Times New Roman" w:cs="Times New Roman"/>
          <w:sz w:val="24"/>
          <w:szCs w:val="24"/>
        </w:rPr>
        <w:t xml:space="preserve">На II пути перегона Саблино – Тосно магистрали Санкт-Петербург – Москва в 2010 году уложен 1 км опытного участка без балластного пути, а также, в целях сравнения, участок с под балластным слоем (1 км) по аналогии с выполненным в 2008 году на перегоне Торбино – Боровенка, и участок с применением </w:t>
      </w:r>
      <w:proofErr w:type="spellStart"/>
      <w:r w:rsidRPr="00695829">
        <w:rPr>
          <w:rFonts w:ascii="Times New Roman" w:hAnsi="Times New Roman" w:cs="Times New Roman"/>
          <w:sz w:val="24"/>
          <w:szCs w:val="24"/>
        </w:rPr>
        <w:t>георешеток</w:t>
      </w:r>
      <w:proofErr w:type="spellEnd"/>
      <w:r w:rsidRPr="00695829">
        <w:rPr>
          <w:rFonts w:ascii="Times New Roman" w:hAnsi="Times New Roman" w:cs="Times New Roman"/>
          <w:sz w:val="24"/>
          <w:szCs w:val="24"/>
        </w:rPr>
        <w:t xml:space="preserve"> типа «</w:t>
      </w:r>
      <w:proofErr w:type="spellStart"/>
      <w:r w:rsidRPr="00695829">
        <w:rPr>
          <w:rFonts w:ascii="Times New Roman" w:hAnsi="Times New Roman" w:cs="Times New Roman"/>
          <w:sz w:val="24"/>
          <w:szCs w:val="24"/>
        </w:rPr>
        <w:t>Неовеб</w:t>
      </w:r>
      <w:proofErr w:type="spellEnd"/>
      <w:r w:rsidRPr="00695829">
        <w:rPr>
          <w:rFonts w:ascii="Times New Roman" w:hAnsi="Times New Roman" w:cs="Times New Roman"/>
          <w:sz w:val="24"/>
          <w:szCs w:val="24"/>
        </w:rPr>
        <w:t>» (1 км).</w:t>
      </w:r>
      <w:proofErr w:type="gramEnd"/>
    </w:p>
    <w:p w:rsidR="00F81FCB" w:rsidRP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FCB">
        <w:rPr>
          <w:rFonts w:ascii="Times New Roman" w:hAnsi="Times New Roman" w:cs="Times New Roman"/>
          <w:sz w:val="24"/>
          <w:szCs w:val="24"/>
        </w:rPr>
        <w:t>Главнейшим направлением обеспечения противоугонных свойств и устойчивости бесстыкового пути следует считать переход на необслуживаемые промежуточные скрепления с ресурсом, равным межремонтному сроку.</w:t>
      </w:r>
    </w:p>
    <w:p w:rsidR="00F81FCB" w:rsidRP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8A8278" wp14:editId="0FBC150E">
            <wp:extent cx="2587479" cy="1790700"/>
            <wp:effectExtent l="0" t="0" r="3810" b="0"/>
            <wp:docPr id="2" name="Рисунок 2" descr="C:\Users\Преподаватель\Desktop\htmlconvd-9H5nx5_html_a857996c8eccf3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аватель\Desktop\htmlconvd-9H5nx5_html_a857996c8eccf32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479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 </w:t>
      </w:r>
      <w:r w:rsidRPr="00F81FCB">
        <w:rPr>
          <w:rFonts w:ascii="Times New Roman" w:hAnsi="Times New Roman" w:cs="Times New Roman"/>
          <w:sz w:val="24"/>
          <w:szCs w:val="24"/>
        </w:rPr>
        <w:t>Рельсовое скрепление типа W30 (VOSSLOH)</w:t>
      </w:r>
    </w:p>
    <w:p w:rsid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807D4C" wp14:editId="0553A3D4">
            <wp:extent cx="3190875" cy="2158533"/>
            <wp:effectExtent l="0" t="0" r="0" b="0"/>
            <wp:docPr id="3" name="Рисунок 3" descr="C:\Users\Преподаватель\Desktop\406_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еподаватель\Desktop\406_original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3" r="32000"/>
                    <a:stretch/>
                  </pic:blipFill>
                  <pic:spPr bwMode="auto">
                    <a:xfrm>
                      <a:off x="0" y="0"/>
                      <a:ext cx="3192408" cy="215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3 </w:t>
      </w:r>
      <w:r w:rsidRPr="00F81FCB">
        <w:rPr>
          <w:rFonts w:ascii="Times New Roman" w:hAnsi="Times New Roman" w:cs="Times New Roman"/>
          <w:sz w:val="24"/>
          <w:szCs w:val="24"/>
        </w:rPr>
        <w:t>Рельсовое скрепление типа АРС</w:t>
      </w:r>
    </w:p>
    <w:p w:rsid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C0BFF9" wp14:editId="2191A9FF">
            <wp:extent cx="3343274" cy="2085975"/>
            <wp:effectExtent l="0" t="0" r="0" b="0"/>
            <wp:docPr id="4" name="Рисунок 4" descr="C:\Users\Преподаватель\Desktop\3ed289143f2da35efa5e751959976ada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реподаватель\Desktop\3ed289143f2da35efa5e751959976ada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8" t="21581" r="1426" b="18376"/>
                    <a:stretch/>
                  </pic:blipFill>
                  <pic:spPr bwMode="auto">
                    <a:xfrm>
                      <a:off x="0" y="0"/>
                      <a:ext cx="3341488" cy="20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4 </w:t>
      </w:r>
      <w:r w:rsidRPr="00F81FCB">
        <w:rPr>
          <w:rFonts w:ascii="Times New Roman" w:hAnsi="Times New Roman" w:cs="Times New Roman"/>
          <w:sz w:val="24"/>
          <w:szCs w:val="24"/>
        </w:rPr>
        <w:t>Рельсовое скрепление типа ЖБР-ШД</w:t>
      </w:r>
    </w:p>
    <w:p w:rsidR="00F81FCB" w:rsidRP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FCB">
        <w:rPr>
          <w:rFonts w:ascii="Times New Roman" w:hAnsi="Times New Roman" w:cs="Times New Roman"/>
          <w:sz w:val="24"/>
          <w:szCs w:val="24"/>
        </w:rPr>
        <w:t xml:space="preserve">В 2010 году на 40 км железнодорожного пути </w:t>
      </w:r>
      <w:proofErr w:type="gramStart"/>
      <w:r w:rsidRPr="00F81FCB">
        <w:rPr>
          <w:rFonts w:ascii="Times New Roman" w:hAnsi="Times New Roman" w:cs="Times New Roman"/>
          <w:sz w:val="24"/>
          <w:szCs w:val="24"/>
        </w:rPr>
        <w:t>уложена</w:t>
      </w:r>
      <w:proofErr w:type="gramEnd"/>
      <w:r w:rsidRPr="00F81FCB">
        <w:rPr>
          <w:rFonts w:ascii="Times New Roman" w:hAnsi="Times New Roman" w:cs="Times New Roman"/>
          <w:sz w:val="24"/>
          <w:szCs w:val="24"/>
        </w:rPr>
        <w:t xml:space="preserve"> георешетка НЕВЕБ. Использование георешетки на железных дорогах позволяет значительно повысить качество железнодорожного полотна, увеличить скоростные режимы движения, увеличить межремонтный интервал и сократить расходы на содержание. Применение георешеток обеспечивает:</w:t>
      </w:r>
    </w:p>
    <w:p w:rsidR="00F81FCB" w:rsidRP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1FCB">
        <w:rPr>
          <w:rFonts w:ascii="Times New Roman" w:hAnsi="Times New Roman" w:cs="Times New Roman"/>
          <w:sz w:val="24"/>
          <w:szCs w:val="24"/>
        </w:rPr>
        <w:t xml:space="preserve"> значительное увеличение несущей способности верхнего слоя земляного основания (в 2 и более раз) и эффективное снижение постоянных деформаций в полотне;</w:t>
      </w:r>
    </w:p>
    <w:p w:rsidR="00F81FCB" w:rsidRP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1FCB">
        <w:rPr>
          <w:rFonts w:ascii="Times New Roman" w:hAnsi="Times New Roman" w:cs="Times New Roman"/>
          <w:sz w:val="24"/>
          <w:szCs w:val="24"/>
        </w:rPr>
        <w:t xml:space="preserve"> высокую жесткость армирующего слоя конструкции для максимальной защиты слабого земляного основания;</w:t>
      </w:r>
    </w:p>
    <w:p w:rsidR="00F81FCB" w:rsidRP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1FCB">
        <w:rPr>
          <w:rFonts w:ascii="Times New Roman" w:hAnsi="Times New Roman" w:cs="Times New Roman"/>
          <w:sz w:val="24"/>
          <w:szCs w:val="24"/>
        </w:rPr>
        <w:t xml:space="preserve"> уменьшение поперечного перемещения балласта, вызываемое высокими динамическими нагрузками в 4-8 раз по сравнению с конструкцией без решетки;</w:t>
      </w:r>
    </w:p>
    <w:p w:rsidR="00F81FCB" w:rsidRP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1FCB">
        <w:rPr>
          <w:rFonts w:ascii="Times New Roman" w:hAnsi="Times New Roman" w:cs="Times New Roman"/>
          <w:sz w:val="24"/>
          <w:szCs w:val="24"/>
        </w:rPr>
        <w:t>уменьшение прогибов на слабых основаниях и их стандартные отклонения;</w:t>
      </w:r>
    </w:p>
    <w:p w:rsid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81FCB">
        <w:rPr>
          <w:rFonts w:ascii="Times New Roman" w:hAnsi="Times New Roman" w:cs="Times New Roman"/>
          <w:sz w:val="24"/>
          <w:szCs w:val="24"/>
        </w:rPr>
        <w:t xml:space="preserve"> снижение общих деформаций внутри балласта.</w:t>
      </w:r>
    </w:p>
    <w:p w:rsid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335CE6" wp14:editId="097FC56A">
            <wp:extent cx="4791075" cy="3419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5 </w:t>
      </w:r>
      <w:r w:rsidRPr="00F81FCB">
        <w:rPr>
          <w:rFonts w:ascii="Times New Roman" w:hAnsi="Times New Roman" w:cs="Times New Roman"/>
          <w:sz w:val="24"/>
          <w:szCs w:val="24"/>
        </w:rPr>
        <w:t>Укладка георешеток</w:t>
      </w:r>
    </w:p>
    <w:p w:rsidR="00F81FCB" w:rsidRPr="00F81FCB" w:rsidRDefault="00F81FCB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FCB">
        <w:rPr>
          <w:rFonts w:ascii="Times New Roman" w:hAnsi="Times New Roman" w:cs="Times New Roman"/>
          <w:sz w:val="24"/>
          <w:szCs w:val="24"/>
        </w:rPr>
        <w:lastRenderedPageBreak/>
        <w:t>Стрелочные переводы и съезды для железных дорог для скоростей движения до 250км/ч. Первыми из разработанных конструкций являются стрелочные переводы марки 1/11 –и съезд на его основе. Рабочие и контрольные тяги на стрелке, а также внешние замыкатели, размещаются в специальных полых металлических брусьях. На стрелке и крестовине размещены противоугонные устройства, обеспечивающие согласованную работу элементов и препятствующие их угону. Вариант стрелочного перевода с четырьмя приводами имеет значительно более простые механизмы, что существенно облегчит его обслуживание в эксплуатации.</w:t>
      </w:r>
    </w:p>
    <w:p w:rsidR="00F81FCB" w:rsidRPr="00F81FCB" w:rsidRDefault="001620F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C52FAE" wp14:editId="78C2D437">
            <wp:extent cx="4947465" cy="2838450"/>
            <wp:effectExtent l="0" t="0" r="5715" b="0"/>
            <wp:docPr id="6" name="Рисунок 6" descr="C:\Users\Преподаватель\Desktop\2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реподаватель\Desktop\220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23" cy="283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FCB" w:rsidRDefault="001620F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6 Стрелочный перевод</w:t>
      </w:r>
    </w:p>
    <w:p w:rsidR="001620F9" w:rsidRPr="001620F9" w:rsidRDefault="001620F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0F9">
        <w:rPr>
          <w:rFonts w:ascii="Times New Roman" w:hAnsi="Times New Roman" w:cs="Times New Roman"/>
          <w:sz w:val="24"/>
          <w:szCs w:val="24"/>
        </w:rPr>
        <w:t>Уравнительные стыки. В целях компенсации перемещений пути от колебаний температур окружающего воздуха и временной нагрузки со стороны подвижных концов пролетных строений взамен существующих уравнительных пролетов разработаны и укладываются уравнительные стыки.</w:t>
      </w:r>
    </w:p>
    <w:p w:rsidR="001620F9" w:rsidRPr="001620F9" w:rsidRDefault="001620F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0F9">
        <w:rPr>
          <w:rFonts w:ascii="Times New Roman" w:hAnsi="Times New Roman" w:cs="Times New Roman"/>
          <w:sz w:val="24"/>
          <w:szCs w:val="24"/>
        </w:rPr>
        <w:t>Преимуществом уравнительного стыка является значительно меньший вес конструкции, экономия эксплуатационных расходов.</w:t>
      </w:r>
    </w:p>
    <w:p w:rsidR="001620F9" w:rsidRPr="001620F9" w:rsidRDefault="001620F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0F9">
        <w:rPr>
          <w:rFonts w:ascii="Times New Roman" w:hAnsi="Times New Roman" w:cs="Times New Roman"/>
          <w:sz w:val="24"/>
          <w:szCs w:val="24"/>
        </w:rPr>
        <w:t>Согласно стратегии развития железнодорожного транспорта России, к2030 году общая протяжённость линий со скоростями более 160 км/ч, составит почти 11 тыс. км. Из них протяжённость высокоскоростных линий превысит 1,5 тыс. км. В результате анализа транспортных связей между крупнейшими городами России отобрано 18 направлений, где целесообразно внедрение скоростного пассажирского движения. Это такие крупные транспортные узлы как Санкт-Петербургский, Московский, Краснодарский, Самарский и Новосибирский. В том числе скоростное железнодорожное сообщение свяжет Волгоград, Екатеринбург, Казань, Новосибирск, Омск, Ростов-на-Дону, Челябинск и Уфу.</w:t>
      </w:r>
    </w:p>
    <w:p w:rsidR="001620F9" w:rsidRPr="001620F9" w:rsidRDefault="001620F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0F9">
        <w:rPr>
          <w:rFonts w:ascii="Times New Roman" w:hAnsi="Times New Roman" w:cs="Times New Roman"/>
          <w:sz w:val="24"/>
          <w:szCs w:val="24"/>
        </w:rPr>
        <w:t>Транспортные строители, на плечи которых ложится основная доля работ по осуществлению нового железнодорожного строительства, постоянно наращивают объемы и скорости проведения работ и при этом не уступают по качеству современным мировым стандартам. Получить такие результаты в железнодорожном строительстве можно лишь на основе инновационных технологий.</w:t>
      </w:r>
    </w:p>
    <w:p w:rsidR="001620F9" w:rsidRDefault="001620F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0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используемой </w:t>
      </w:r>
      <w:r w:rsidR="00F62475">
        <w:rPr>
          <w:rFonts w:ascii="Times New Roman" w:hAnsi="Times New Roman" w:cs="Times New Roman"/>
          <w:b/>
          <w:sz w:val="24"/>
          <w:szCs w:val="24"/>
        </w:rPr>
        <w:t>литературы:</w:t>
      </w:r>
    </w:p>
    <w:p w:rsidR="001620F9" w:rsidRDefault="001620F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0F9">
        <w:rPr>
          <w:rFonts w:ascii="Times New Roman" w:hAnsi="Times New Roman" w:cs="Times New Roman"/>
          <w:sz w:val="24"/>
          <w:szCs w:val="24"/>
        </w:rPr>
        <w:t>1. Киселев И. П. Высокоскоростной железн</w:t>
      </w:r>
      <w:r>
        <w:rPr>
          <w:rFonts w:ascii="Times New Roman" w:hAnsi="Times New Roman" w:cs="Times New Roman"/>
          <w:sz w:val="24"/>
          <w:szCs w:val="24"/>
        </w:rPr>
        <w:t>одорожный транспорт. Общий курс</w:t>
      </w:r>
      <w:r w:rsidRPr="001620F9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1620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2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20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20F9">
        <w:rPr>
          <w:rFonts w:ascii="Times New Roman" w:hAnsi="Times New Roman" w:cs="Times New Roman"/>
          <w:sz w:val="24"/>
          <w:szCs w:val="24"/>
        </w:rPr>
        <w:t>особие : в 2 т. / И. П. Киселев, Л. С. Блажко, Н. С. Бушуев, А. П. Ледяев, В. Н. Смирнов, Т. С. Титова, Ю. С. Фролов, А. Т. Бурков, В. А. Гапанович, В. И. Ковалев, А. Б. Никитин, П. А. Плеханов, В. М. Саввов</w:t>
      </w:r>
      <w:r>
        <w:rPr>
          <w:rFonts w:ascii="Times New Roman" w:hAnsi="Times New Roman" w:cs="Times New Roman"/>
          <w:sz w:val="24"/>
          <w:szCs w:val="24"/>
        </w:rPr>
        <w:t>, Ю. И. Соколов, В. С. Суходоев</w:t>
      </w:r>
      <w:r w:rsidRPr="001620F9">
        <w:rPr>
          <w:rFonts w:ascii="Times New Roman" w:hAnsi="Times New Roman" w:cs="Times New Roman"/>
          <w:sz w:val="24"/>
          <w:szCs w:val="24"/>
        </w:rPr>
        <w:t>; под ред. И. П. Киселева. – М. : Учеб</w:t>
      </w:r>
      <w:proofErr w:type="gramStart"/>
      <w:r w:rsidRPr="001620F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620F9">
        <w:rPr>
          <w:rFonts w:ascii="Times New Roman" w:hAnsi="Times New Roman" w:cs="Times New Roman"/>
          <w:sz w:val="24"/>
          <w:szCs w:val="24"/>
        </w:rPr>
        <w:t>метод. центр по образованию на ж.-д. тра</w:t>
      </w:r>
      <w:r>
        <w:rPr>
          <w:rFonts w:ascii="Times New Roman" w:hAnsi="Times New Roman" w:cs="Times New Roman"/>
          <w:sz w:val="24"/>
          <w:szCs w:val="24"/>
        </w:rPr>
        <w:t>нспорте, 2014. – Т. 1. – 308 с.</w:t>
      </w:r>
      <w:r w:rsidRPr="001620F9">
        <w:rPr>
          <w:rFonts w:ascii="Times New Roman" w:hAnsi="Times New Roman" w:cs="Times New Roman"/>
          <w:sz w:val="24"/>
          <w:szCs w:val="24"/>
        </w:rPr>
        <w:t xml:space="preserve">; Т. 2. – 372 с. </w:t>
      </w:r>
    </w:p>
    <w:p w:rsidR="001620F9" w:rsidRDefault="001620F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0F9">
        <w:rPr>
          <w:rFonts w:ascii="Times New Roman" w:hAnsi="Times New Roman" w:cs="Times New Roman"/>
          <w:sz w:val="24"/>
          <w:szCs w:val="24"/>
        </w:rPr>
        <w:t xml:space="preserve">2. Транспортная стратегия Российской Федерации на период до 2030 года (новая редакция утверждена распоряжением Правительства РФ от 11 июня 2014 г., № 1032-р). – М., 2014. – 495 с. </w:t>
      </w:r>
    </w:p>
    <w:p w:rsidR="00F81FCB" w:rsidRPr="00F81FCB" w:rsidRDefault="001620F9" w:rsidP="00F624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0F9">
        <w:rPr>
          <w:rFonts w:ascii="Times New Roman" w:hAnsi="Times New Roman" w:cs="Times New Roman"/>
          <w:sz w:val="24"/>
          <w:szCs w:val="24"/>
        </w:rPr>
        <w:t>3. Актуализированную программу высокоскоростного сообщения обсудили на заседании правления РЖД // Гудок. – 2015. – 23 ноября. 4. Обновленная сеть // Гудок. – 2015. – 25 ноября. 5. Проекты ВСМ в России // ОАО «Скоростные магистрали». – 2016. – 4 апреля. – URL</w:t>
      </w:r>
      <w:proofErr w:type="gramStart"/>
      <w:r w:rsidRPr="001620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20F9">
        <w:rPr>
          <w:rFonts w:ascii="Times New Roman" w:hAnsi="Times New Roman" w:cs="Times New Roman"/>
          <w:sz w:val="24"/>
          <w:szCs w:val="24"/>
        </w:rPr>
        <w:t xml:space="preserve"> http://www.hsrail.ru (дата обращения: 15.06.2017).</w:t>
      </w:r>
    </w:p>
    <w:sectPr w:rsidR="00F81FCB" w:rsidRPr="00F81FCB" w:rsidSect="00F62475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AB"/>
    <w:rsid w:val="001620F9"/>
    <w:rsid w:val="00695829"/>
    <w:rsid w:val="007F13AB"/>
    <w:rsid w:val="00B81558"/>
    <w:rsid w:val="00E8752E"/>
    <w:rsid w:val="00F62475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2023-12-05T08:01:00Z</dcterms:created>
  <dcterms:modified xsi:type="dcterms:W3CDTF">2023-12-05T08:01:00Z</dcterms:modified>
</cp:coreProperties>
</file>