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4E2" w:rsidRDefault="006D54E2">
      <w:pPr>
        <w:pStyle w:val="2"/>
        <w:shd w:val="clear" w:color="auto" w:fill="FFFFFF"/>
        <w:spacing w:before="135" w:after="90" w:line="480" w:lineRule="atLeast"/>
        <w:textAlignment w:val="baseline"/>
        <w:divId w:val="1491823039"/>
        <w:rPr>
          <w:rFonts w:ascii="inherit" w:eastAsia="Times New Roman" w:hAnsi="inherit"/>
          <w:color w:val="474D5E"/>
          <w:sz w:val="36"/>
          <w:szCs w:val="36"/>
        </w:rPr>
      </w:pPr>
      <w:r>
        <w:rPr>
          <w:rFonts w:ascii="inherit" w:eastAsia="Times New Roman" w:hAnsi="inherit"/>
          <w:b/>
          <w:bCs/>
          <w:color w:val="474D5E"/>
        </w:rPr>
        <w:t>Три основные задачи, которые важно решить в процессе воспитательной работы</w:t>
      </w:r>
    </w:p>
    <w:p w:rsidR="006D54E2" w:rsidRDefault="006D54E2">
      <w:pPr>
        <w:shd w:val="clear" w:color="auto" w:fill="FFFFFF"/>
        <w:textAlignment w:val="baseline"/>
        <w:divId w:val="1932927501"/>
        <w:rPr>
          <w:rFonts w:ascii="inherit" w:eastAsia="Times New Roman" w:hAnsi="inherit"/>
          <w:b/>
          <w:bCs/>
          <w:color w:val="474D5E"/>
          <w:sz w:val="21"/>
          <w:szCs w:val="21"/>
        </w:rPr>
      </w:pPr>
      <w:r>
        <w:rPr>
          <w:rFonts w:ascii="inherit" w:eastAsia="Times New Roman" w:hAnsi="inherit"/>
          <w:b/>
          <w:bCs/>
          <w:color w:val="474D5E"/>
          <w:sz w:val="21"/>
          <w:szCs w:val="21"/>
        </w:rPr>
        <w:t>Автор: Стародубцева Елена Викторовна</w:t>
      </w:r>
    </w:p>
    <w:p w:rsidR="006D54E2" w:rsidRDefault="006D54E2">
      <w:pPr>
        <w:pStyle w:val="a3"/>
        <w:shd w:val="clear" w:color="auto" w:fill="FFFFFF"/>
        <w:spacing w:before="0" w:beforeAutospacing="0" w:after="525" w:afterAutospacing="0"/>
        <w:textAlignment w:val="baseline"/>
        <w:divId w:val="149182303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 этой теме поговорим о воспитательной работе с дошкольниками: ее функциях и формах. Вы узнаете, почему полезно вовлекать детей в игры, что такое коллективное творческое дело, в чем его плюсы для развития дошкольников. Прочитаете про три вида работы с детьми – индивидуальную, групповую и коллективную. Получите примеры личных и групповых занятий.</w:t>
      </w:r>
    </w:p>
    <w:p w:rsidR="006D54E2" w:rsidRDefault="006D54E2">
      <w:pPr>
        <w:pStyle w:val="a3"/>
        <w:shd w:val="clear" w:color="auto" w:fill="FFFFFF"/>
        <w:spacing w:before="168" w:beforeAutospacing="0" w:after="168" w:afterAutospacing="0"/>
        <w:textAlignment w:val="baseline"/>
        <w:divId w:val="608976745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Воспитательная работа – это то, чем вы ежедневно занимаетесь в группе. В лекции обсудим, какие задачи вы решаете в процессе воспитания дошкольников.</w:t>
      </w:r>
    </w:p>
    <w:p w:rsidR="006D54E2" w:rsidRDefault="006D54E2">
      <w:pPr>
        <w:pStyle w:val="a3"/>
        <w:shd w:val="clear" w:color="auto" w:fill="FFFFFF"/>
        <w:spacing w:before="168" w:beforeAutospacing="0" w:after="168" w:afterAutospacing="0"/>
        <w:textAlignment w:val="baseline"/>
        <w:divId w:val="608976745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 процессе воспитательной работы педагог решает три основные задачи. Познакомьтесь с ними в таблице ниже.</w:t>
      </w:r>
    </w:p>
    <w:p w:rsidR="006D54E2" w:rsidRDefault="006D54E2">
      <w:pPr>
        <w:shd w:val="clear" w:color="auto" w:fill="F6F7F9"/>
        <w:spacing w:line="374" w:lineRule="atLeast"/>
        <w:textAlignment w:val="baseline"/>
        <w:divId w:val="1706518149"/>
        <w:rPr>
          <w:rFonts w:ascii="inherit" w:eastAsia="Times New Roman" w:hAnsi="inherit"/>
          <w:b/>
          <w:bCs/>
          <w:color w:val="474D5E"/>
          <w:sz w:val="27"/>
          <w:szCs w:val="27"/>
        </w:rPr>
      </w:pPr>
      <w:r>
        <w:rPr>
          <w:rStyle w:val="a4"/>
          <w:rFonts w:ascii="inherit" w:eastAsia="Times New Roman" w:hAnsi="inherit"/>
          <w:color w:val="474D5E"/>
          <w:sz w:val="27"/>
          <w:szCs w:val="27"/>
          <w:bdr w:val="none" w:sz="0" w:space="0" w:color="auto" w:frame="1"/>
        </w:rPr>
        <w:t>Задачи воспитательной работы</w:t>
      </w: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2658"/>
      </w:tblGrid>
      <w:tr w:rsidR="006D54E2">
        <w:trPr>
          <w:divId w:val="1955407330"/>
          <w:tblHeader/>
        </w:trPr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240" w:type="dxa"/>
            </w:tcMar>
            <w:vAlign w:val="bottom"/>
            <w:hideMark/>
          </w:tcPr>
          <w:p w:rsidR="006D54E2" w:rsidRDefault="006D54E2">
            <w:pPr>
              <w:spacing w:line="240" w:lineRule="auto"/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Функция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0" w:type="dxa"/>
            </w:tcMar>
            <w:vAlign w:val="bottom"/>
            <w:hideMark/>
          </w:tcPr>
          <w:p w:rsidR="006D54E2" w:rsidRDefault="006D54E2">
            <w:pPr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Пояснение</w:t>
            </w:r>
          </w:p>
        </w:tc>
      </w:tr>
      <w:tr w:rsidR="006D54E2">
        <w:trPr>
          <w:divId w:val="1955407330"/>
        </w:trPr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Организаторская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Важно вовлечь детей в учебный процесс и мотивировать быть активными. За это отвечает воспитатель. Ему нужно организовать собственную деятельность и поведение для эффективной работы с дошкольниками</w:t>
            </w:r>
          </w:p>
        </w:tc>
      </w:tr>
      <w:tr w:rsidR="006D54E2">
        <w:trPr>
          <w:divId w:val="1955407330"/>
        </w:trPr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lastRenderedPageBreak/>
              <w:t>Регулирующая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Воспитатель отвечает за то, чтобы сплотить детей между собой, наладить собственные отношения с дошкольниками</w:t>
            </w:r>
          </w:p>
        </w:tc>
      </w:tr>
      <w:tr w:rsidR="006D54E2">
        <w:trPr>
          <w:divId w:val="1955407330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Информативная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6D54E2" w:rsidRDefault="006D54E2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Воспитатель дает детям новые знания и актуализирует те, которые дошкольники получили за пределами детского сада</w:t>
            </w:r>
          </w:p>
        </w:tc>
      </w:tr>
    </w:tbl>
    <w:p w:rsidR="006D54E2" w:rsidRDefault="006D54E2">
      <w:pPr>
        <w:pStyle w:val="a3"/>
        <w:shd w:val="clear" w:color="auto" w:fill="FFFFFF"/>
        <w:spacing w:before="168" w:beforeAutospacing="0" w:after="168" w:afterAutospacing="0"/>
        <w:textAlignment w:val="baseline"/>
        <w:divId w:val="608976745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6D54E2" w:rsidRDefault="006D54E2">
      <w:pPr>
        <w:pStyle w:val="a3"/>
        <w:shd w:val="clear" w:color="auto" w:fill="FFFFFF"/>
        <w:spacing w:before="0" w:beforeAutospacing="0" w:after="0" w:afterAutospacing="0"/>
        <w:textAlignment w:val="baseline"/>
        <w:divId w:val="1517965836"/>
        <w:rPr>
          <w:rFonts w:ascii="inherit" w:hAnsi="inherit"/>
          <w:color w:val="1BBF18"/>
          <w:sz w:val="27"/>
          <w:szCs w:val="27"/>
        </w:rPr>
      </w:pPr>
      <w:r>
        <w:rPr>
          <w:rFonts w:ascii="inherit" w:hAnsi="inherit"/>
          <w:color w:val="1BBF18"/>
          <w:sz w:val="27"/>
          <w:szCs w:val="27"/>
        </w:rPr>
        <w:t>Какие три задачи решает педагог в процессе воспитательной работы</w:t>
      </w:r>
    </w:p>
    <w:p w:rsidR="006D54E2" w:rsidRDefault="006D54E2">
      <w:pPr>
        <w:pStyle w:val="a3"/>
        <w:shd w:val="clear" w:color="auto" w:fill="FFFFFF"/>
        <w:spacing w:before="0" w:beforeAutospacing="0" w:after="0" w:afterAutospacing="0"/>
        <w:textAlignment w:val="baseline"/>
        <w:divId w:val="102343575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Организаторскую, информативную и регулирующую.</w:t>
      </w:r>
    </w:p>
    <w:p w:rsidR="00B02399" w:rsidRDefault="00B02399">
      <w:pPr>
        <w:pStyle w:val="2"/>
        <w:shd w:val="clear" w:color="auto" w:fill="FFFFFF"/>
        <w:spacing w:before="135" w:after="90" w:line="480" w:lineRule="atLeast"/>
        <w:textAlignment w:val="baseline"/>
        <w:divId w:val="512065216"/>
        <w:rPr>
          <w:rFonts w:ascii="inherit" w:eastAsia="Times New Roman" w:hAnsi="inherit"/>
          <w:color w:val="474D5E"/>
          <w:sz w:val="36"/>
          <w:szCs w:val="36"/>
        </w:rPr>
      </w:pPr>
      <w:r>
        <w:rPr>
          <w:rFonts w:ascii="inherit" w:eastAsia="Times New Roman" w:hAnsi="inherit"/>
          <w:b/>
          <w:bCs/>
          <w:color w:val="474D5E"/>
        </w:rPr>
        <w:t>Три формы воспитательной работы, которые необходимо освоить воспитателю</w:t>
      </w:r>
    </w:p>
    <w:p w:rsidR="00B02399" w:rsidRDefault="00B02399">
      <w:pPr>
        <w:shd w:val="clear" w:color="auto" w:fill="FFFFFF"/>
        <w:textAlignment w:val="baseline"/>
        <w:divId w:val="1691298900"/>
        <w:rPr>
          <w:rFonts w:ascii="inherit" w:eastAsia="Times New Roman" w:hAnsi="inherit"/>
          <w:b/>
          <w:bCs/>
          <w:color w:val="474D5E"/>
          <w:sz w:val="21"/>
          <w:szCs w:val="21"/>
        </w:rPr>
      </w:pPr>
      <w:r>
        <w:rPr>
          <w:rFonts w:ascii="inherit" w:eastAsia="Times New Roman" w:hAnsi="inherit"/>
          <w:b/>
          <w:bCs/>
          <w:color w:val="474D5E"/>
          <w:sz w:val="21"/>
          <w:szCs w:val="21"/>
        </w:rPr>
        <w:t>Автор: Стародубцева Елена Викторовна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Вы прочитали, какие задачи решает педагог в процессе воспитания дошкольников. В этой лекции поговорим о </w:t>
      </w:r>
      <w:r>
        <w:rPr>
          <w:rStyle w:val="tooltip-title"/>
          <w:rFonts w:ascii="inherit" w:hAnsi="inherit"/>
          <w:color w:val="9793F0"/>
          <w:sz w:val="27"/>
          <w:szCs w:val="27"/>
          <w:bdr w:val="none" w:sz="0" w:space="0" w:color="auto" w:frame="1"/>
        </w:rPr>
        <w:t>формах воспитательной работы</w:t>
      </w:r>
      <w:r>
        <w:rPr>
          <w:rFonts w:ascii="inherit" w:hAnsi="inherit"/>
          <w:color w:val="474D5E"/>
          <w:sz w:val="27"/>
          <w:szCs w:val="27"/>
        </w:rPr>
        <w:t>.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 xml:space="preserve">Педагогика насчитывает большое количество форм воспитательной работы. Однако перечислить их все невозможно: разные специалисты классифицируют формы воспитания по-своему. К примеру, есть </w:t>
      </w:r>
      <w:r>
        <w:rPr>
          <w:rFonts w:ascii="inherit" w:hAnsi="inherit"/>
          <w:color w:val="474D5E"/>
          <w:sz w:val="27"/>
          <w:szCs w:val="27"/>
        </w:rPr>
        <w:lastRenderedPageBreak/>
        <w:t>классификация известного доктора педагогических наук Е.В. Титовой. Остановимся на ней подробнее.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Профессор Е.В. Титова выделяет три основные формы воспитательной работы: мероприятия, игры, дела. Они отличаются друг от друга целями, участниками и воспитательными возможностями.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Есть три основных формы воспитательной работы: мероприятия, дела, игры. Они отличаются друг от друга целями, участниками и воспитательными возможностями.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Мероприятия.</w:t>
      </w:r>
      <w:r>
        <w:rPr>
          <w:rFonts w:ascii="inherit" w:hAnsi="inherit"/>
          <w:color w:val="474D5E"/>
          <w:sz w:val="27"/>
          <w:szCs w:val="27"/>
        </w:rPr>
        <w:t> Это события, занятия, игры в группе, которые организует воспитатель для детей. С помощью мероприятий он оказывает на дошкольников воспитательное воздействие. Характерный признак такой разновидности работы с дошкольниками: взрослый организует событие, а дети принимают в нем участие. В каких случаях стоит выбирать этот вариант воспитательной работы, смотрите на рисунке 1.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Рисунок 1. Когда стоит воспитывать детей через мероприятия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hyperlink r:id="rId4" w:history="1">
        <w:r>
          <w:rPr>
            <w:rStyle w:val="a4"/>
            <w:rFonts w:ascii="inherit" w:hAnsi="inherit"/>
            <w:color w:val="2386FF"/>
            <w:sz w:val="27"/>
            <w:szCs w:val="27"/>
            <w:bdr w:val="none" w:sz="0" w:space="0" w:color="auto" w:frame="1"/>
          </w:rPr>
          <w:t>Сохранить и распечатать</w:t>
        </w:r>
      </w:hyperlink>
    </w:p>
    <w:p w:rsidR="00B02399" w:rsidRDefault="00B02399">
      <w:pPr>
        <w:shd w:val="clear" w:color="auto" w:fill="FFFFFF"/>
        <w:spacing w:line="374" w:lineRule="atLeast"/>
        <w:textAlignment w:val="baseline"/>
        <w:divId w:val="1557820499"/>
        <w:rPr>
          <w:rFonts w:ascii="Helvetica" w:eastAsia="Times New Roman" w:hAnsi="Helvetica"/>
          <w:color w:val="474D5E"/>
          <w:sz w:val="27"/>
          <w:szCs w:val="27"/>
        </w:rPr>
      </w:pPr>
      <w:r>
        <w:rPr>
          <w:rFonts w:ascii="Helvetica" w:eastAsia="Times New Roman" w:hAnsi="Helvetica"/>
          <w:noProof/>
          <w:color w:val="474D5E"/>
          <w:sz w:val="27"/>
          <w:szCs w:val="27"/>
        </w:rPr>
        <w:drawing>
          <wp:inline distT="0" distB="0" distL="0" distR="0" wp14:anchorId="52936316" wp14:editId="380D6A3A">
            <wp:extent cx="5826760" cy="36785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Игры. </w:t>
      </w:r>
      <w:r>
        <w:rPr>
          <w:rFonts w:ascii="inherit" w:hAnsi="inherit"/>
          <w:color w:val="474D5E"/>
          <w:sz w:val="27"/>
          <w:szCs w:val="27"/>
        </w:rPr>
        <w:t>Это воображаемая или реальная деятельность, которую организуют в детском коллективе для отдыха, развлечения и обучения. Характерные признаки: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– в играх нет общественной пользы, но они полезны для развития и воспитания детей; </w:t>
      </w:r>
      <w:r>
        <w:rPr>
          <w:rFonts w:ascii="inherit" w:hAnsi="inherit"/>
          <w:color w:val="474D5E"/>
          <w:sz w:val="27"/>
          <w:szCs w:val="27"/>
        </w:rPr>
        <w:br/>
        <w:t>– воздействие педагога на детей скрыто игрой, дети его не замечают.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lastRenderedPageBreak/>
        <w:t>Для дошкольников игра – основной вид деятельности. В играх дети подражают трудовой деятельности взрослых, примеряют различные социальные роли. На этапе игры у детей происходит разделение по половому признаку.</w:t>
      </w:r>
      <w:r>
        <w:rPr>
          <w:rFonts w:ascii="inherit" w:hAnsi="inherit"/>
          <w:color w:val="474D5E"/>
          <w:sz w:val="27"/>
          <w:szCs w:val="27"/>
        </w:rPr>
        <w:br/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024016275"/>
        <w:rPr>
          <w:rFonts w:ascii="inherit" w:hAnsi="inherit"/>
          <w:color w:val="1BBF18"/>
          <w:sz w:val="27"/>
          <w:szCs w:val="27"/>
        </w:rPr>
      </w:pPr>
      <w:r>
        <w:rPr>
          <w:rFonts w:ascii="inherit" w:hAnsi="inherit"/>
          <w:color w:val="1BBF18"/>
          <w:sz w:val="27"/>
          <w:szCs w:val="27"/>
        </w:rPr>
        <w:t>Какие игры воспитатели предлагают детям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9695800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Примеры популярных игр: деловые, сюжетно-ролевые, спортивные, познавательные, развивающие, терапевтические, дидактические.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 играх у дошкольников проявляются индивидуальные и возрастные особенности. В возрасте 2–3 лет ребенок начинает получать логически-образное представление о мире. Играя, он придает предметам воображаемые свойства, замещает ими реальные объекты (игры «понарошку»).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В зависимости от возраста детей их игровую деятельность можно разделить на два этапа (таблица 1).</w:t>
      </w:r>
    </w:p>
    <w:p w:rsidR="00B02399" w:rsidRDefault="00B02399">
      <w:pPr>
        <w:shd w:val="clear" w:color="auto" w:fill="F6F7F9"/>
        <w:spacing w:line="374" w:lineRule="atLeast"/>
        <w:textAlignment w:val="baseline"/>
        <w:divId w:val="622884327"/>
        <w:rPr>
          <w:rFonts w:ascii="inherit" w:eastAsia="Times New Roman" w:hAnsi="inherit"/>
          <w:b/>
          <w:bCs/>
          <w:color w:val="474D5E"/>
          <w:sz w:val="27"/>
          <w:szCs w:val="27"/>
        </w:rPr>
      </w:pPr>
      <w:r>
        <w:rPr>
          <w:rStyle w:val="a4"/>
          <w:rFonts w:ascii="inherit" w:eastAsia="Times New Roman" w:hAnsi="inherit"/>
          <w:color w:val="474D5E"/>
          <w:sz w:val="27"/>
          <w:szCs w:val="27"/>
          <w:bdr w:val="none" w:sz="0" w:space="0" w:color="auto" w:frame="1"/>
        </w:rPr>
        <w:t>Таблица 1. Игровая деятельность дошкольников разного возраста</w:t>
      </w: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721"/>
        <w:gridCol w:w="2457"/>
      </w:tblGrid>
      <w:tr w:rsidR="00B02399">
        <w:trPr>
          <w:divId w:val="675304033"/>
          <w:tblHeader/>
        </w:trPr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240" w:type="dxa"/>
            </w:tcMar>
            <w:vAlign w:val="bottom"/>
            <w:hideMark/>
          </w:tcPr>
          <w:p w:rsidR="00B02399" w:rsidRDefault="00B02399">
            <w:pPr>
              <w:spacing w:line="240" w:lineRule="auto"/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Этап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240" w:type="dxa"/>
            </w:tcMar>
            <w:vAlign w:val="bottom"/>
            <w:hideMark/>
          </w:tcPr>
          <w:p w:rsidR="00B02399" w:rsidRDefault="00B02399">
            <w:pPr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Возраст ребенка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0" w:type="dxa"/>
            </w:tcMar>
            <w:vAlign w:val="bottom"/>
            <w:hideMark/>
          </w:tcPr>
          <w:p w:rsidR="00B02399" w:rsidRDefault="00B02399">
            <w:pPr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Как играют дети</w:t>
            </w:r>
          </w:p>
        </w:tc>
      </w:tr>
      <w:tr w:rsidR="00B02399">
        <w:trPr>
          <w:divId w:val="675304033"/>
        </w:trPr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Первый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3–5 лет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Воспроизводят действия других людей, активно используют в игре различные предметы (игры с мячом, кубиками, машинками и т. п.)</w:t>
            </w:r>
          </w:p>
        </w:tc>
      </w:tr>
      <w:tr w:rsidR="00B02399">
        <w:trPr>
          <w:divId w:val="675304033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Второй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5–7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 xml:space="preserve">Моделируют реальные отношения между </w:t>
            </w: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lastRenderedPageBreak/>
              <w:t>людьми (дочки-матери, пациент и врач, покупатель и кассир</w:t>
            </w:r>
            <w:r>
              <w:rPr>
                <w:rFonts w:ascii="inherit" w:eastAsia="Times New Roman" w:hAnsi="inherit"/>
                <w:sz w:val="21"/>
                <w:szCs w:val="21"/>
              </w:rPr>
              <w:br/>
            </w: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и т. п.)</w:t>
            </w:r>
          </w:p>
        </w:tc>
      </w:tr>
    </w:tbl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lastRenderedPageBreak/>
        <w:t>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Развивающие игры – это игры на развитие внимания, памяти, мышления и т. п. Игры должны быть оригинальными, интересными и нести в себе задачу, вопрос, проблему, которые нужно решить ребенку. Только в этом случае они выполняют свою цель. Одна из разновидностей развивающих игр – настольные игры. Они в интересной красочной форме учат ребенка действовать самостоятельно, включать сообразительность, мыслить образами.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ind w:left="300" w:right="300"/>
        <w:textAlignment w:val="baseline"/>
        <w:divId w:val="2049794505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Пример</w:t>
      </w:r>
    </w:p>
    <w:p w:rsidR="00B02399" w:rsidRDefault="00B02399">
      <w:pPr>
        <w:pStyle w:val="a3"/>
        <w:shd w:val="clear" w:color="auto" w:fill="FFFFFF"/>
        <w:spacing w:before="180" w:beforeAutospacing="0" w:after="180" w:afterAutospacing="0"/>
        <w:ind w:left="300" w:right="300"/>
        <w:textAlignment w:val="baseline"/>
        <w:divId w:val="2049794505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Чем полезны развивающие игры</w:t>
      </w:r>
    </w:p>
    <w:p w:rsidR="00B02399" w:rsidRDefault="00B02399">
      <w:pPr>
        <w:pStyle w:val="a3"/>
        <w:shd w:val="clear" w:color="auto" w:fill="FFFFFF"/>
        <w:spacing w:before="180" w:beforeAutospacing="0" w:after="180" w:afterAutospacing="0"/>
        <w:ind w:left="300" w:right="300"/>
        <w:textAlignment w:val="baseline"/>
        <w:divId w:val="2049794505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Детское домино с изображением геометрических фигур на костяшках научит ребенка:</w:t>
      </w:r>
      <w:r>
        <w:rPr>
          <w:rFonts w:ascii="inherit" w:hAnsi="inherit"/>
          <w:color w:val="474D5E"/>
          <w:sz w:val="27"/>
          <w:szCs w:val="27"/>
        </w:rPr>
        <w:br/>
        <w:t>– взаимодействовать в коллективе;</w:t>
      </w:r>
      <w:r>
        <w:rPr>
          <w:rFonts w:ascii="inherit" w:hAnsi="inherit"/>
          <w:color w:val="474D5E"/>
          <w:sz w:val="27"/>
          <w:szCs w:val="27"/>
        </w:rPr>
        <w:br/>
        <w:t>– ориентироваться в основных фигурах (круг, квадрат, треугольник, прямоугольник).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Помимо развивающих игр, предлагайте дошкольникам и дидактические игры. Они развивают сенсорное восприятие: знакомят с формой, величиной, цветом, пространством, звуком. Дидактические игры позволяют дать ребенку новые знания и одновременно с этим заинтересовать его.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Дела.</w:t>
      </w:r>
      <w:r>
        <w:rPr>
          <w:rFonts w:ascii="inherit" w:hAnsi="inherit"/>
          <w:color w:val="474D5E"/>
          <w:sz w:val="27"/>
          <w:szCs w:val="27"/>
        </w:rPr>
        <w:t> Это общая работа, важные события, которые проводят члены коллектива на пользу и радость кому-либо, в том числе самим себе. Характерные признаки: </w:t>
      </w:r>
      <w:r>
        <w:rPr>
          <w:rFonts w:ascii="inherit" w:hAnsi="inherit"/>
          <w:color w:val="474D5E"/>
          <w:sz w:val="27"/>
          <w:szCs w:val="27"/>
        </w:rPr>
        <w:br/>
      </w:r>
      <w:r>
        <w:rPr>
          <w:rFonts w:ascii="inherit" w:hAnsi="inherit"/>
          <w:color w:val="474D5E"/>
          <w:sz w:val="27"/>
          <w:szCs w:val="27"/>
        </w:rPr>
        <w:lastRenderedPageBreak/>
        <w:t>– дети организуют подобные события и непосредственно участвуют в них; </w:t>
      </w:r>
      <w:r>
        <w:rPr>
          <w:rFonts w:ascii="inherit" w:hAnsi="inherit"/>
          <w:color w:val="474D5E"/>
          <w:sz w:val="27"/>
          <w:szCs w:val="27"/>
        </w:rPr>
        <w:br/>
        <w:t>– события важны для общества (группы, родителей, сотрудников ДОО и т. п.); </w:t>
      </w:r>
      <w:r>
        <w:rPr>
          <w:rFonts w:ascii="inherit" w:hAnsi="inherit"/>
          <w:color w:val="474D5E"/>
          <w:sz w:val="27"/>
          <w:szCs w:val="27"/>
        </w:rPr>
        <w:br/>
        <w:t>– воспитатель позволяет детям проявить себя и не давит на них как руководитель.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Дела бывают трех видов. С ними вас познакомит таблица 2.</w:t>
      </w:r>
    </w:p>
    <w:p w:rsidR="00B02399" w:rsidRDefault="00B02399">
      <w:pPr>
        <w:shd w:val="clear" w:color="auto" w:fill="F6F7F9"/>
        <w:spacing w:line="374" w:lineRule="atLeast"/>
        <w:textAlignment w:val="baseline"/>
        <w:divId w:val="147601407"/>
        <w:rPr>
          <w:rFonts w:ascii="inherit" w:eastAsia="Times New Roman" w:hAnsi="inherit"/>
          <w:b/>
          <w:bCs/>
          <w:color w:val="474D5E"/>
          <w:sz w:val="27"/>
          <w:szCs w:val="27"/>
        </w:rPr>
      </w:pPr>
      <w:r>
        <w:rPr>
          <w:rStyle w:val="a4"/>
          <w:rFonts w:ascii="inherit" w:eastAsia="Times New Roman" w:hAnsi="inherit"/>
          <w:color w:val="474D5E"/>
          <w:sz w:val="27"/>
          <w:szCs w:val="27"/>
          <w:bdr w:val="none" w:sz="0" w:space="0" w:color="auto" w:frame="1"/>
        </w:rPr>
        <w:t>Таблица 2. Какие бывают дела</w:t>
      </w: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965"/>
      </w:tblGrid>
      <w:tr w:rsidR="00B02399">
        <w:trPr>
          <w:divId w:val="848522031"/>
          <w:tblHeader/>
        </w:trPr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240" w:type="dxa"/>
            </w:tcMar>
            <w:vAlign w:val="bottom"/>
            <w:hideMark/>
          </w:tcPr>
          <w:p w:rsidR="00B02399" w:rsidRDefault="00B02399">
            <w:pPr>
              <w:spacing w:line="240" w:lineRule="auto"/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Вид дела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165" w:type="dxa"/>
              <w:right w:w="0" w:type="dxa"/>
            </w:tcMar>
            <w:vAlign w:val="bottom"/>
            <w:hideMark/>
          </w:tcPr>
          <w:p w:rsidR="00B02399" w:rsidRDefault="00B02399">
            <w:pPr>
              <w:rPr>
                <w:rFonts w:ascii="inherit" w:eastAsia="Times New Roman" w:hAnsi="inherit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Характеристика</w:t>
            </w:r>
          </w:p>
        </w:tc>
      </w:tr>
      <w:tr w:rsidR="00B02399">
        <w:trPr>
          <w:divId w:val="848522031"/>
        </w:trPr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Персональное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Дело, которое организует конкретный человек</w:t>
            </w:r>
          </w:p>
        </w:tc>
      </w:tr>
      <w:tr w:rsidR="00B02399">
        <w:trPr>
          <w:divId w:val="848522031"/>
        </w:trPr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Творческое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9DA5BE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Дело, которое планирует и организует с творческим подходом часть коллектива (например, только взрослые)</w:t>
            </w:r>
          </w:p>
        </w:tc>
      </w:tr>
      <w:tr w:rsidR="00B02399">
        <w:trPr>
          <w:divId w:val="848522031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24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>Коллективное творческое (КТД)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405" w:type="dxa"/>
              <w:right w:w="0" w:type="dxa"/>
            </w:tcMar>
            <w:hideMark/>
          </w:tcPr>
          <w:p w:rsidR="00B02399" w:rsidRDefault="00B02399">
            <w:pPr>
              <w:rPr>
                <w:rFonts w:ascii="inherit" w:eastAsia="Times New Roman" w:hAnsi="inherit"/>
                <w:sz w:val="21"/>
                <w:szCs w:val="21"/>
              </w:rPr>
            </w:pP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t xml:space="preserve">Дело, которое организуют дети и взрослые, в котором есть что-то нестандартное, творческое. Бывают познавательные, трудовые, художественные, спортивные, экологические и </w:t>
            </w:r>
            <w:r>
              <w:rPr>
                <w:rFonts w:ascii="inherit" w:eastAsia="Times New Roman" w:hAnsi="inherit"/>
                <w:sz w:val="27"/>
                <w:szCs w:val="27"/>
                <w:bdr w:val="none" w:sz="0" w:space="0" w:color="auto" w:frame="1"/>
              </w:rPr>
              <w:lastRenderedPageBreak/>
              <w:t>досуговые коллективные дела</w:t>
            </w:r>
          </w:p>
        </w:tc>
      </w:tr>
    </w:tbl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lastRenderedPageBreak/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07169374"/>
        <w:rPr>
          <w:rFonts w:ascii="inherit" w:hAnsi="inherit"/>
          <w:color w:val="1BBF18"/>
          <w:sz w:val="27"/>
          <w:szCs w:val="27"/>
        </w:rPr>
      </w:pPr>
      <w:r>
        <w:rPr>
          <w:rFonts w:ascii="inherit" w:hAnsi="inherit"/>
          <w:color w:val="1BBF18"/>
          <w:sz w:val="27"/>
          <w:szCs w:val="27"/>
        </w:rPr>
        <w:t>Организатором какого дела выступает конкретный человек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746225546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Персональное дело.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Коллективные творческие дела обладают наибольшими воспитательными возможностями. Почему они так полезны, смотрите на рисунке 2.</w:t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Style w:val="a4"/>
          <w:rFonts w:ascii="inherit" w:hAnsi="inherit"/>
          <w:color w:val="474D5E"/>
          <w:sz w:val="27"/>
          <w:szCs w:val="27"/>
          <w:bdr w:val="none" w:sz="0" w:space="0" w:color="auto" w:frame="1"/>
        </w:rPr>
        <w:t>Рисунок 2. В чем преимущества коллективных творческих дел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hyperlink r:id="rId6" w:history="1">
        <w:r>
          <w:rPr>
            <w:rStyle w:val="a4"/>
            <w:rFonts w:ascii="inherit" w:hAnsi="inherit"/>
            <w:color w:val="2386FF"/>
            <w:sz w:val="27"/>
            <w:szCs w:val="27"/>
            <w:bdr w:val="none" w:sz="0" w:space="0" w:color="auto" w:frame="1"/>
          </w:rPr>
          <w:t>Сохранить и распечатать</w:t>
        </w:r>
      </w:hyperlink>
    </w:p>
    <w:p w:rsidR="00B02399" w:rsidRDefault="00B02399">
      <w:pPr>
        <w:shd w:val="clear" w:color="auto" w:fill="FFFFFF"/>
        <w:spacing w:line="374" w:lineRule="atLeast"/>
        <w:textAlignment w:val="baseline"/>
        <w:divId w:val="1557820499"/>
        <w:rPr>
          <w:rFonts w:ascii="Helvetica" w:eastAsia="Times New Roman" w:hAnsi="Helvetica"/>
          <w:color w:val="474D5E"/>
          <w:sz w:val="27"/>
          <w:szCs w:val="27"/>
        </w:rPr>
      </w:pPr>
      <w:r>
        <w:rPr>
          <w:rFonts w:ascii="Helvetica" w:eastAsia="Times New Roman" w:hAnsi="Helvetica"/>
          <w:noProof/>
          <w:color w:val="474D5E"/>
          <w:sz w:val="27"/>
          <w:szCs w:val="27"/>
        </w:rPr>
        <w:drawing>
          <wp:inline distT="0" distB="0" distL="0" distR="0" wp14:anchorId="7B4D30C2" wp14:editId="23330B85">
            <wp:extent cx="5858510" cy="3678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99" w:rsidRDefault="00B02399">
      <w:pPr>
        <w:pStyle w:val="a3"/>
        <w:shd w:val="clear" w:color="auto" w:fill="FFFFFF"/>
        <w:spacing w:before="168" w:beforeAutospacing="0" w:after="168" w:afterAutospacing="0"/>
        <w:textAlignment w:val="baseline"/>
        <w:divId w:val="1557820499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 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786236118"/>
        <w:rPr>
          <w:rFonts w:ascii="inherit" w:hAnsi="inherit"/>
          <w:color w:val="1BBF18"/>
          <w:sz w:val="27"/>
          <w:szCs w:val="27"/>
        </w:rPr>
      </w:pPr>
      <w:r>
        <w:rPr>
          <w:rFonts w:ascii="inherit" w:hAnsi="inherit"/>
          <w:color w:val="1BBF18"/>
          <w:sz w:val="27"/>
          <w:szCs w:val="27"/>
        </w:rPr>
        <w:t>Когда будут полезны мероприятия, а когда – игры и дела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433623861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lastRenderedPageBreak/>
        <w:t>В педагогике есть такое явление, как перерождение форм воспитательной работы. Это переход одной формы к другой «по лесенке»: Мероприятия &gt; Игры &gt; Дела.</w:t>
      </w:r>
    </w:p>
    <w:p w:rsidR="00B02399" w:rsidRDefault="00B02399">
      <w:pPr>
        <w:pStyle w:val="a3"/>
        <w:shd w:val="clear" w:color="auto" w:fill="FFFFFF"/>
        <w:spacing w:before="0" w:beforeAutospacing="0" w:after="0" w:afterAutospacing="0"/>
        <w:textAlignment w:val="baseline"/>
        <w:divId w:val="1897928262"/>
        <w:rPr>
          <w:rFonts w:ascii="inherit" w:hAnsi="inherit"/>
          <w:color w:val="474D5E"/>
          <w:sz w:val="27"/>
          <w:szCs w:val="27"/>
        </w:rPr>
      </w:pPr>
      <w:r>
        <w:rPr>
          <w:rFonts w:ascii="inherit" w:hAnsi="inherit"/>
          <w:color w:val="474D5E"/>
          <w:sz w:val="27"/>
          <w:szCs w:val="27"/>
        </w:rPr>
        <w:t>Мероприятия эффективны, в первую очередь, когда взаимодействуете с младшими дошкольникам, игры и дела – в работе с детьми постарше. Начните применять формы воспитания именно в таком порядке: сначала мероприятия, затем игры, а уже потом дела.</w:t>
      </w:r>
    </w:p>
    <w:p w:rsidR="006D54E2" w:rsidRDefault="006D54E2"/>
    <w:sectPr w:rsidR="006D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E2"/>
    <w:rsid w:val="006D54E2"/>
    <w:rsid w:val="00B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9D1E5E-971C-C94F-88B4-59FA360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5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5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5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4E2"/>
    <w:rPr>
      <w:b/>
      <w:bCs/>
    </w:rPr>
  </w:style>
  <w:style w:type="character" w:customStyle="1" w:styleId="tooltip-title">
    <w:name w:val="tooltip-title"/>
    <w:basedOn w:val="a0"/>
    <w:rsid w:val="00B0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3475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330">
              <w:marLeft w:val="-450"/>
              <w:marRight w:val="-4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81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32002">
              <w:marLeft w:val="0"/>
              <w:marRight w:val="0"/>
              <w:marTop w:val="49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0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0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499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261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0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4033">
                  <w:marLeft w:val="-450"/>
                  <w:marRight w:val="-45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43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4505">
                  <w:marLeft w:val="0"/>
                  <w:marRight w:val="0"/>
                  <w:marTop w:val="456"/>
                  <w:marBottom w:val="456"/>
                  <w:divBdr>
                    <w:top w:val="single" w:sz="12" w:space="14" w:color="474D5E"/>
                    <w:left w:val="single" w:sz="12" w:space="0" w:color="474D5E"/>
                    <w:bottom w:val="single" w:sz="12" w:space="14" w:color="474D5E"/>
                    <w:right w:val="single" w:sz="12" w:space="0" w:color="474D5E"/>
                  </w:divBdr>
                </w:div>
                <w:div w:id="848522031">
                  <w:marLeft w:val="-450"/>
                  <w:marRight w:val="-45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40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1266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5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6484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3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5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chool.menobr.ru/download/ac16d6a4-4764-474d-b390-4a7c74c08574/2_20181015T142151/png" TargetMode="External" /><Relationship Id="rId5" Type="http://schemas.openxmlformats.org/officeDocument/2006/relationships/image" Target="media/image1.png" /><Relationship Id="rId4" Type="http://schemas.openxmlformats.org/officeDocument/2006/relationships/hyperlink" Target="https://school.menobr.ru/download/ac16d6a4-4764-474d-b390-4a7c74c08574/1_20181015T142151/pn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Боржевец</dc:creator>
  <cp:keywords/>
  <dc:description/>
  <cp:lastModifiedBy>Настя Боржевец</cp:lastModifiedBy>
  <cp:revision>3</cp:revision>
  <dcterms:created xsi:type="dcterms:W3CDTF">2020-07-24T08:37:00Z</dcterms:created>
  <dcterms:modified xsi:type="dcterms:W3CDTF">2020-07-24T08:38:00Z</dcterms:modified>
</cp:coreProperties>
</file>