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16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МАДОУ №13</w:t>
      </w:r>
    </w:p>
    <w:p>
      <w:pPr>
        <w:widowControl w:val="false"/>
        <w:suppressAutoHyphens w:val="true"/>
        <w:spacing w:before="0" w:after="16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Методическая разработка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Игра в обучении иностранному языку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uppressAutoHyphens w:val="true"/>
        <w:spacing w:before="0" w:after="16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ЭКСТРАСЕНСЫ И СКЕПТИКИ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uppressAutoHyphens w:val="true"/>
        <w:spacing w:before="0" w:after="16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Автор: педагог дополнительного образования</w:t>
      </w:r>
    </w:p>
    <w:p>
      <w:pPr>
        <w:widowControl w:val="false"/>
        <w:suppressAutoHyphens w:val="true"/>
        <w:spacing w:before="0" w:after="16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Никишина Наталья Анатольевна</w:t>
      </w:r>
    </w:p>
    <w:p>
      <w:pPr>
        <w:widowControl w:val="false"/>
        <w:suppressAutoHyphens w:val="true"/>
        <w:spacing w:before="0" w:after="160" w:line="240"/>
        <w:ind w:right="0" w:left="720" w:firstLine="0"/>
        <w:jc w:val="right"/>
        <w:rPr>
          <w:rFonts w:ascii="Times New Roman" w:hAnsi="Times New Roman" w:cs="Times New Roman" w:eastAsia="Times New Roman"/>
          <w:color w:val="0563C1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Тел.: 953-918-47-53, e-mail: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toyon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HYPERLINK "mailto:toyon@vtomske.ru"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HYPERLINK "mailto:toyon@vtomske.ru"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vtomske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HYPERLINK "mailto:toyon@vtomske.ru"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HYPERLINK "mailto:toyon@vtomske.ru"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ru</w:t>
        </w:r>
      </w:hyperlink>
    </w:p>
    <w:p>
      <w:pPr>
        <w:widowControl w:val="false"/>
        <w:suppressAutoHyphens w:val="true"/>
        <w:spacing w:before="0" w:after="160" w:line="240"/>
        <w:ind w:right="0" w:left="72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Методическое обоснование использования игры на занятии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Учитывая тот аспект, что основной формой деятельности детей в дошкольном возрасте является игра, сложно обойтись без использования игровых методик в учебном процессе.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В силу возрастных физиологических и психических особенностей дошкольников обучение иностранному языку не может носить сугубо информативный, учебный характер. Поэтому необходим постоянный творческий поиск, освоение новых педагогических и информационных технологий. Игра является не только ведущей формой деятельности, но и важной частью занятия по обучению иностранному языку в ДОУ, с учетом применения принципа интеграции образовательных областей.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Описание игры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Название 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Экстрасенсы и скептики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Тип игры – лексическая творческая игра, по основному виду деятельности – интеллектуальная, по характеру педагогического процесса – коммуникативно-тренировочная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Возраст участников – от 4 до 7 лет. Для воспитанников младшей подгруппы (4-5 лет) используется первый вариант игры, для воспитанников старшей подгруппы (6-7) – второй.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Количество участников от 3 до 8 человек для первого варианта и от 5 до 10 человек для второго.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Выполняемая функция игры: тренинговая, коммуникативная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Цель, задачи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Повторение лексики, закрепление слов и выражений в рамках изучаемой темы, расширение словарного запаса ребенка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Развить коммуникативные способности ребенка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Развить творческие способности ребенка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Закрепить навыки произношения 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Закрепить лексические навыки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Содержание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Вариант 1 (младшая подгруппа)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Подготовка – карточки с изображениями и названиями предметов, действий, состояний и т.д. по изучаемой теме, непрозрачный мешочек, или коробка, головной убор экстрасенса (шляпа волшебника, тюрбан, венок)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Игроки складывают карточки в мешок или коробку, называя, что на них изображено. Затем по считалочке выбирается участник, который начнет испытания. Он надевает головной убор экстрасенса и предполагает, карточку с каким изображением он сейчас достанет (например,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Яблоко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Достает карточку, смотрит, что на ней изображено и называет это. Если предположение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экстрасенса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совпало с изображением, то данная карточка помещается на доску. В конце игры подсчитываются результаты. Если правильно угаданных карточек больше половины, игроки танцуют веселый танец, если меньше –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вздыхают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–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то есть делают дыхательную гимнастику.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Вариант 2 (старшая подгруппа)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Подготовка – карточки с изображениями и названиями предметов, действий, состояний и т.д. по изучаемой теме, непрозрачный мешочек, или коробка, головной убор экстрасенса (шляпа волшебника, тюрбан, венок), очки скептика (без стекол).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Игроки складывают карточки в мешок или коробку, называя, что на них изображено. Затем по считалочке выбирается участники, которые начнут испытания. Они надевают свои аксессуары.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Скептик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дает задание, карточку с каким изображением нужно достать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экстрасенсу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например,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Яблоко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»). 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Экстрасенс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достает карточку, смотрит, что на ней изображено и называет это. Если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экстрасенс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достал ту карточку, которую называл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скептик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то победил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экстрасенс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если на карточке другое изображение – победа за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скептиком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конце игры подсчитываются результаты. Проигравшая команда выполняет задание победителей – попрыгать, рассказать стишок, спеть песенку и т.д. 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Способ и форма проведения игры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Игра средней подвижности, соревновательного характера, с использованием игровой атрибутики и дидактического материала.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Уровень сложности интеллектуальной деятельности зависит от выбранного варианта игры и соответствует уровню подготовки и возрасту воспитанников.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Продолжительность игры – от 5 до 10 минут, в зависимости от количества участников и варианта игры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Степень сложности выполняемых действий зависит от выбранного варианта игры, а также учитывается актуальное эмоциональное состояние игроков и уровень их языковой подготовки — от легкой до средней степени сложности.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Выводы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процессе игры было осуществлено повторение и закрепление лексического материала в рамках изучаемой темы. Игра дала возможность закрепить полученные навыки аудирования и произношения иноязычных слов, а также способствовала формированию коммуникативных навыков и развитию творческих способностей ребенка. 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Рефлексия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Экстрасенсы и скептики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направлена на речевое развитие ребенка, а также на развитие его коммуникативных навыков и творческих способностей. В процессе игры в творческо-игровой форме осуществляется многократное повторение учебного лексического материала, которое невозможно для детей дошкольного возраста в другой форме. Коммуникативный характер игры дает игрокам возможность почувствовать себя полноправным членом подгруппы, частью единой команды, что в свою очередь, ведет к созданию комфортного микроклимата в коллективе. В то же время, соревновательная составляющая привносит ощущение азарта и мотивирует игроков к более высокой речевой и мыслительной активности. Игровая атрибутика помогает войти в образ героя и раскрыть творческие способности игрока. Таким образом, создается несколько направлений для достижения ребенком чувства успешности и удовлетворенности своими действиями — речевое, командное, творческое. Существует риск негативной реакции ребенка (обида, огорчение, агрессия) на неудачное выполнение игрового задания — например, если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экстрасенс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не выполнил задание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скептика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 не достал предложенную карточку. В этом случае следует предусмотреть индивидуальные методы поощрения — за представление героя, за произношение, за волю к победе и т.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д., с учетом психологических особенностей каждого ребенка-участника.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Список использованных источников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Интернет-ресурс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https://sites.google.com/site/innovobraz/home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Практический блок Кейса, статья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Инновационные образовательные технологии в преподавании предмета как средство достижения нового образовательного результата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toyon@vtomske.ru" Id="docRId0" Type="http://schemas.openxmlformats.org/officeDocument/2006/relationships/hyperlink"/><Relationship TargetMode="External" Target="https://sites.google.com/site/innovobraz/home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