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4" w:rsidRPr="004544B4" w:rsidRDefault="004544B4" w:rsidP="004544B4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Формирование самооценки индивидуальных достижений</w:t>
      </w:r>
    </w:p>
    <w:p w:rsidR="004544B4" w:rsidRDefault="004544B4" w:rsidP="004544B4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младшего школьника.</w:t>
      </w:r>
    </w:p>
    <w:p w:rsid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A0FD7" w:rsidRP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Прогалкина</w:t>
      </w:r>
      <w:proofErr w:type="spellEnd"/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Наталья Евгеньевна</w:t>
      </w:r>
    </w:p>
    <w:p w:rsidR="005A0FD7" w:rsidRP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Учитель начальных классов</w:t>
      </w:r>
    </w:p>
    <w:p w:rsidR="005A0FD7" w:rsidRP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МБОУ «СОШ № 2 </w:t>
      </w:r>
    </w:p>
    <w:p w:rsidR="005A0FD7" w:rsidRP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>с углубленным изучением английского языка»</w:t>
      </w:r>
    </w:p>
    <w:p w:rsidR="005A0FD7" w:rsidRPr="005A0FD7" w:rsidRDefault="005A0FD7" w:rsidP="005A0FD7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город Сосновый Бор Ленинградской области.</w:t>
      </w:r>
    </w:p>
    <w:p w:rsidR="005A0FD7" w:rsidRPr="005A0FD7" w:rsidRDefault="005A0FD7" w:rsidP="004544B4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Современное развитие нашего общества требует от школы формирования личности с полноценной жизненной самореализацией. Для решения этой 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новной задачи школы необходимо разв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тие способностей учащихся, в том числе и способностей к саморазвитию, самопознанию, адекватной оценке своих возможностей и жизненных предпочтений. Успешность решения п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ставленной задачи существенно зависит от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умения осуществлять контроль и оценку своих действий.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Новые стандарты во главу ставят развитие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умений, которые включают в себя такие умения, как самоконтроль и сам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оценка. </w:t>
      </w:r>
    </w:p>
    <w:p w:rsid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Самооценка – это важнейший психологический фактор формирования уче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ной деятельности учащегося, поэтому она играет значимую роль в становл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нии его индивидуальных особенностей и возра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тных характеристик. Поэтому вопрос о формировании самооценки в начальных классах является актуал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ным в настоящее время.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Умение оценить себя закладывается в самом раннем детстве, а развитие и 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вершенс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вование его происходит в течение всей жизни человека.</w:t>
      </w:r>
    </w:p>
    <w:p w:rsid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Установлено, что одной из причин отставания учащихся в учении является слаборазвитое умение критически оценивать результаты своей учебной де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тельности.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ыявилась необходимость </w:t>
      </w:r>
      <w:proofErr w:type="gram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поиска эффективных способов организации оц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ночной деятельности учителя</w:t>
      </w:r>
      <w:proofErr w:type="gram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и ученика, 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чиная с первого класса.</w:t>
      </w:r>
    </w:p>
    <w:p w:rsidR="005A0FD7" w:rsidRDefault="004544B4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Оценочная деятельность учителя – основа для формирования самооценки у </w:t>
      </w:r>
      <w:proofErr w:type="gram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>. Самооценка формируется и развивается, если учитель демо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стрирует положительное отношение к ученику, веру в его возможности, ж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лание всеми способами помочь ему учиться. Методическая сторона сводится к применению в учебном процессе преимущественно индивидуальных эт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лонов, создающих условие для рефлексивной оценки учащимися своих де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ствий.</w:t>
      </w:r>
    </w:p>
    <w:p w:rsidR="005A0FD7" w:rsidRDefault="005A0FD7" w:rsidP="005A0F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самооценки можно применять эталон, который может быть в различных формах: устной, письменной, графической. В процессе с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мооценки происходит операция сравнения выполненной работы с эталоном, в результате которой выявляется степень правильности работы, ее качество, выставляется оценка. Самооценка в учебном процессе происходит при п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самоанализа своей учебной деятельности. </w:t>
      </w:r>
    </w:p>
    <w:p w:rsidR="005A0FD7" w:rsidRPr="005A0FD7" w:rsidRDefault="005A0FD7" w:rsidP="005A0F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Самооценка позволяет ставить цели, планировать способы и методы для до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поставленных ц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b/>
          <w:sz w:val="28"/>
          <w:szCs w:val="28"/>
          <w:lang w:eastAsia="ru-RU"/>
        </w:rPr>
        <w:t>Процедура самооценки включает в себя: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>1. Разработку учителем для каждого конкретного случая четких эталонов и кр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териев оценивания.</w:t>
      </w:r>
    </w:p>
    <w:p w:rsidR="005A0FD7" w:rsidRPr="005A0FD7" w:rsidRDefault="005A0FD7" w:rsidP="005A0FD7">
      <w:pPr>
        <w:pStyle w:val="a8"/>
        <w:rPr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>2. Создание необходимого психологического настроя обучающихся на ан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лиз собственных</w:t>
      </w:r>
      <w:r w:rsidRPr="005A0FD7">
        <w:rPr>
          <w:lang w:eastAsia="ru-RU"/>
        </w:rPr>
        <w:t xml:space="preserve"> р</w:t>
      </w:r>
      <w:r w:rsidRPr="005A0FD7">
        <w:rPr>
          <w:lang w:eastAsia="ru-RU"/>
        </w:rPr>
        <w:t>е</w:t>
      </w:r>
      <w:r w:rsidRPr="005A0FD7">
        <w:rPr>
          <w:lang w:eastAsia="ru-RU"/>
        </w:rPr>
        <w:t>зультатов.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>3. Обеспечение ситуации, когда эталоны оценивания обучающимся известны и дети самосто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тельно сопоставляют с ними свои результаты, делая при этом соответствующие выводы об эффе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тивности работы. 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4. Составление </w:t>
      </w:r>
      <w:proofErr w:type="gramStart"/>
      <w:r w:rsidRPr="005A0FD7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собственной программы деятельности на сл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дующий этап обуч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ния с учетом полученных результатов.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школьник должен пройти все этапы оценочной деятельности, для того, чтобы осознать: что нужно оценивать, как оценивать, зачем оценивать, какие формы оценок существуют. </w:t>
      </w:r>
    </w:p>
    <w:p w:rsidR="005A0FD7" w:rsidRPr="005A0FD7" w:rsidRDefault="005A0FD7" w:rsidP="005A0F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смысл самооценки заключается в самоконтроле обучающегося, его </w:t>
      </w:r>
      <w:proofErr w:type="spellStart"/>
      <w:r w:rsidRPr="005A0FD7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A0FD7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 xml:space="preserve">мостоятельной экспертизе собственной деятельности и в </w:t>
      </w:r>
      <w:proofErr w:type="spellStart"/>
      <w:r w:rsidRPr="005A0FD7">
        <w:rPr>
          <w:rFonts w:ascii="Times New Roman" w:hAnsi="Times New Roman" w:cs="Times New Roman"/>
          <w:sz w:val="28"/>
          <w:szCs w:val="28"/>
          <w:lang w:eastAsia="ru-RU"/>
        </w:rPr>
        <w:t>сам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стимуляции</w:t>
      </w:r>
      <w:proofErr w:type="spellEnd"/>
      <w:r w:rsidRPr="005A0FD7">
        <w:rPr>
          <w:rFonts w:ascii="Times New Roman" w:hAnsi="Times New Roman" w:cs="Times New Roman"/>
          <w:sz w:val="28"/>
          <w:szCs w:val="28"/>
          <w:lang w:eastAsia="ru-RU"/>
        </w:rPr>
        <w:t>. Важность самооценки не только в том, что она позволяет увидеть человеку сильные и слабые стороны своей работы, но и в том, что в основе осмысления этих результатов он получает возможность выстроить собстве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A0FD7">
        <w:rPr>
          <w:rFonts w:ascii="Times New Roman" w:hAnsi="Times New Roman" w:cs="Times New Roman"/>
          <w:sz w:val="28"/>
          <w:szCs w:val="28"/>
          <w:lang w:eastAsia="ru-RU"/>
        </w:rPr>
        <w:t>ную программу дальнейшей деятельности.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функции самооценки: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констатирующая – на основе самоконтроля (что из изученного материала я знаю хорошо, а что недостаточно?);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мобилизационно-побудительная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(мне многое удалось в работе, но в этом вопросе я разобрался не до конца);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проектировочная (чтобы не испытывать затруднений в дальнейшей работе, я обязательно до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жен повторить…).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смысл самооценки заключается в самоконтроле обучающегося, его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мостоятельной экспертизе собственной деятельности и в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самостимуляции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Важность самооценки не только в том, что она позволяет увидеть человеку сильные и слабые стороны своей работы, но и в том, что в основе осмысл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ния этих результатов он получает возможность выстроить собственную пр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грамму дальнейшей деятельности.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Необходимо приучение ребенка к мысли, что человек может и должен оц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нивать себя сам, эта оценка самая важная, так как она позволяет двигаться дальше самостоятельно, а не оглядываться на окружающих: а что они ск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жут, как оценят мои действия.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 повседневной педагогической практике объектом контроля является к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нечный результат, поэтому для формирования адекватной самооценки мла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ших школьников мною используются сл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дующие формы: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«Светофор».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Для самооценки детьми своего внутреннего состояния и самочувствия по 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ношению к выпо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няемым на уроке заданиям, применяется так называемый 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«Светофор». В первом классе предл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гается детям зажигать цветные огоньки в тетрадях. Если работа на уроке прошла успешно, ученик активно работал, не испытывал трудностей при изучении нового материала, все задания были п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нятны, то он рисует на полях зеленый кружок: «Можно двигаться дальше». Если были небольшие затруднения, не всегда быстро справлялся с поста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ленной задачей или что-то осталось неясным, то в тетради рисуется желтый кружок: «Нужна небольшая помощь». Если были значительные з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труднения, ученик не смог самостоятельно справиться с новой задачей, то он рисует красный кружок: «Стоп! Мне нужна помощь!» Нужно отметить, что этим приемом дети с удовольствием пол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зуются на протяжении всех лет обучения в начальной школе.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«Говорящие рисунки»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339725</wp:posOffset>
            </wp:positionV>
            <wp:extent cx="2295525" cy="723900"/>
            <wp:effectExtent l="19050" t="0" r="9525" b="0"/>
            <wp:wrapTight wrapText="bothSides">
              <wp:wrapPolygon edited="0">
                <wp:start x="-179" y="0"/>
                <wp:lineTo x="-179" y="21032"/>
                <wp:lineTo x="21690" y="21032"/>
                <wp:lineTo x="21690" y="0"/>
                <wp:lineTo x="-179" y="0"/>
              </wp:wrapPolygon>
            </wp:wrapTight>
            <wp:docPr id="1" name="Рисунок 1" descr="http://yamal-obr.ru/content/yamal/pics/gallery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al-obr.ru/content/yamal/pics/gallery/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Если ты доволен собой, у тебя все получ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лось, то рисуй улы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softHyphen/>
        <w:t>бающееся лицо.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Если тебе на уроке было временами непр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сто, не все получа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softHyphen/>
        <w:t>лось, то рисуй такое лицо «СПОКО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НОЕ».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Если тебе на уроке было сложно, многое не получалось, то рисуй грустное 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цо.                                                     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377825</wp:posOffset>
            </wp:positionV>
            <wp:extent cx="4000500" cy="1466850"/>
            <wp:effectExtent l="19050" t="0" r="0" b="0"/>
            <wp:wrapTight wrapText="bothSides">
              <wp:wrapPolygon edited="0">
                <wp:start x="-103" y="0"/>
                <wp:lineTo x="-103" y="21319"/>
                <wp:lineTo x="21600" y="21319"/>
                <wp:lineTo x="21600" y="0"/>
                <wp:lineTo x="-103" y="0"/>
              </wp:wrapPolygon>
            </wp:wrapTight>
            <wp:docPr id="2" name="Рисунок 2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 3. «Лесенка успеха»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ся;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2-я и 3-я ступеньки – у ученика остались вопросы по новой теме, в самосто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тельной работе были допущены ошибки;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4-я ступенька – ученик хорошо усвоил новое знание и может его рассказать, в самостоятельной работе ошибок не допустил.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«Карточка сомнений»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+ - «Я понял все</w:t>
      </w:r>
      <w:proofErr w:type="gram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>-  - «Не совсем усвоил, сомневаюсь»;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? – «Не понял».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На уроках чтения и окружающего мира при самостоятельной работе с те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стом учащиеся делают пометки: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V – УЖЕ ЗНАЛ ЭТО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+  - НОВОЕ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? – НЕ ПОНЯЛ, ВОЗНИК ВОПРОС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0 – ДУМАЛ ИНАЧЕ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 «Волшебные линеечки»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60325</wp:posOffset>
            </wp:positionV>
            <wp:extent cx="2220595" cy="1257300"/>
            <wp:effectExtent l="19050" t="0" r="8255" b="0"/>
            <wp:wrapTight wrapText="bothSides">
              <wp:wrapPolygon edited="0">
                <wp:start x="-185" y="0"/>
                <wp:lineTo x="-185" y="21273"/>
                <wp:lineTo x="21680" y="21273"/>
                <wp:lineTo x="21680" y="0"/>
                <wp:lineTo x="-185" y="0"/>
              </wp:wrapPolygon>
            </wp:wrapTight>
            <wp:docPr id="3" name="Рисунок 3" descr="http://yamal-obr.ru/content/yamal/pics/gallery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mal-obr.ru/content/yamal/pics/gallery/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«Волшебные линеечки», описанные Г.А. 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>, являются безобидной и содержательной формой 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метки. Эта линеечка напоминает ребенку измер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тельный прибор. С помощью линеечек можно изм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рить все что угодно. Такая оценка: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позволяет любому ребенку увидеть свои успехи (всегда есть критерий, по которому ребенка можно оценить как успешн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го);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удерживает учебную функцию отметки: крестик на линеечке отражает 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альное продвижение в изучаемом предметном содержании;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помогает избежать сравнения детей между собой (поскольку у каждого из них оценочная лин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ечка только в собственной тетрадке).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Вот как можно оценить письменную работу: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После самооценки наступает очередь оценки учителя. Собрав тетради, уч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тель ставит свои плюсики на линеечках. Со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падения детской и учител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ской оценок (вне зависимости оттого, низко или высоко оценил свою работу реб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нок) означает: «Молодец! Ты умеешь себя оценивать». В случае зав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шенной, а тем более з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ниженной самооценки учеником своей работы, учитель еще раз раскрывает ребенку критерии оценивания и просит в следующий раз быть к 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бе добрее или строже.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Этими линеечками можно пользоваться, когда необходимо спрогнозировать результат своей работы. Прогностическая самооценка позволяет ребенку оценить свои возможности и результаты.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«Дерево успехов»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Итоги дня можно подводить на «Дереве успехов». </w:t>
      </w:r>
      <w:proofErr w:type="gram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После уроков дети пр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крепляют на дерево (н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рисован плакат) плод, цветок или листок: яблоко – все удалось, цветок – неплохо поработал, но что-то не совсем получилось, листок – сегодня не получилось, но я не отчаиваюсь.</w:t>
      </w:r>
      <w:proofErr w:type="gramEnd"/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7. Листы индивидуальных достижений.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Для объективного и систематического оценивания учебных достижений уч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ника, диагностирования качества образовательного процесса на каждого уч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ника по основным предметам заводится «Лист индивидуальных достиж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ний», в который заносятся планируемые результаты по учебному предм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ту. Успехи фиксируются условными обозначениями («Светофор»).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Фиксация достижения планируемых личностных и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резул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татов осуществляется в листах «Мои успехи в формировании УУД».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Благодаря дифференциации самооценки и оценки учащийся не чувствует 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бя ущербным, он п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нимает, что если что-то не получается сейчас, он сможет, приложив усилия и потренировавшись, выполнить задание позже и прод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монстрировать положительный результат.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К процессу формирования адекватной самооценки и навыков самоконтроля необходимо пр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влечь родителей учеников, чтобы были единые требования в школе и дома. На родительских собраниях и на индивидуальных консульт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циях проводятся беседы о способах формирования и зн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чении самооценки и 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самоконтроля. Родители, которые принимают участие в формировании у св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его ребёнка адекватной самооценки и навыков самоконтроля, впоследс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вии реально оцен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вают возможности и учебную деятельность своих детей. Опыт показывает, что при совместной работе учителя и родителей результаты п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лучаются более высокие и поставленные цели достиг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ются быстрее.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Ребёнок с адекватной самооценкой сможет корректировать и совершенств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вать свою учебно-познавательную деятельность в школе, в дальнейшем см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жет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во взрослой жизни.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отслеживания результатов уровня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адекватной самооценки младших школьников использовалась методика Н.Г.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«Лесенка».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уже за первый год обучения были достигнуты пол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жительные результаты работы по формированию самооценки младшего школьника: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осознанное восприятие учащимися учебного материала, понимание границ своих знаний;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ответственности за учебную деятельность;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самооценка и самоконтроль постепенно переходят во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ность;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в поступках детей уже чувствуется умение предвидеть результаты их де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тельности, большинство умеют прогнозировать последствия;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дети проявляют способность к оценке собственных изменений на основе чувства долга, навыков самопознания;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уверенность в способности освоения для самореализации и самоутвержд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ния социального оп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та;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- умение оценить свое положение в системе социальных отношений «взро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лый – сверстник - я».</w:t>
      </w:r>
    </w:p>
    <w:p w:rsidR="004544B4" w:rsidRP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выявленных в ходе моей работы по формированию с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мооценки показал, что наблюдается положительная динамика по всем осно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ным показателям учебной деятельности учащихся, что соответствует план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руемым результатам освоения основной образовательной программы начал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общего образования. Следовательно, </w:t>
      </w:r>
      <w:proofErr w:type="spellStart"/>
      <w:r w:rsidRPr="004544B4">
        <w:rPr>
          <w:rFonts w:ascii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4544B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 форм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рованием самооценки  оказало положительное влияние на личностное разв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44B4">
        <w:rPr>
          <w:rFonts w:ascii="Times New Roman" w:hAnsi="Times New Roman" w:cs="Times New Roman"/>
          <w:sz w:val="28"/>
          <w:szCs w:val="28"/>
          <w:lang w:eastAsia="ru-RU"/>
        </w:rPr>
        <w:t>тие учащихся.</w:t>
      </w:r>
    </w:p>
    <w:p w:rsidR="004544B4" w:rsidRDefault="004544B4" w:rsidP="004544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544B4" w:rsidRPr="004544B4" w:rsidRDefault="004544B4" w:rsidP="004544B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544B4" w:rsidRPr="004544B4" w:rsidRDefault="004544B4" w:rsidP="00454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Контроль и оценка в начальной школе. // Начальная школа, №15, 2006</w:t>
      </w:r>
    </w:p>
    <w:p w:rsidR="004544B4" w:rsidRPr="004544B4" w:rsidRDefault="004544B4" w:rsidP="00454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А.Б. Педагогическая технология контроля и оценки учебной деятельности. М., 2002.</w:t>
      </w:r>
    </w:p>
    <w:p w:rsidR="004544B4" w:rsidRPr="004544B4" w:rsidRDefault="004544B4" w:rsidP="00454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Ларина А. Б. Формирование познавательной самооценки учащихся в начальной школе: методическое пособие. – Калининград: КОИРО, 2011.</w:t>
      </w:r>
    </w:p>
    <w:p w:rsidR="00A42728" w:rsidRPr="005A0FD7" w:rsidRDefault="004544B4" w:rsidP="004544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Оценка без отметки. Москва – Рига: </w:t>
      </w:r>
      <w:proofErr w:type="gramStart"/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"Эксперимент", 1999.</w:t>
      </w:r>
    </w:p>
    <w:sectPr w:rsidR="00A42728" w:rsidRPr="005A0FD7" w:rsidSect="00A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4854"/>
    <w:multiLevelType w:val="multilevel"/>
    <w:tmpl w:val="4E28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4B4"/>
    <w:rsid w:val="004544B4"/>
    <w:rsid w:val="005A0FD7"/>
    <w:rsid w:val="00A4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8"/>
  </w:style>
  <w:style w:type="paragraph" w:styleId="1">
    <w:name w:val="heading 1"/>
    <w:basedOn w:val="a"/>
    <w:link w:val="10"/>
    <w:uiPriority w:val="9"/>
    <w:qFormat/>
    <w:rsid w:val="00454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44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44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4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2017-09-25T09:28:00Z</dcterms:created>
  <dcterms:modified xsi:type="dcterms:W3CDTF">2017-09-25T09:43:00Z</dcterms:modified>
</cp:coreProperties>
</file>