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  <w:lang w:val="en-US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  <w:lang w:val="en-US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  <w:lang w:val="en-US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  <w:lang w:val="en-US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  <w:lang w:val="en-US"/>
        </w:rPr>
      </w:pPr>
    </w:p>
    <w:p w:rsidR="00A61961" w:rsidRP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</w:pPr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t xml:space="preserve">«Использование образов русских народных сказок в формировании у ребенка-дошкольника навыка     </w:t>
      </w:r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br/>
        <w:t xml:space="preserve"> чистого интонирования»</w:t>
      </w: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</w:pPr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t xml:space="preserve">(на основе </w:t>
      </w:r>
      <w:proofErr w:type="spellStart"/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t>попевок</w:t>
      </w:r>
      <w:proofErr w:type="spellEnd"/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t xml:space="preserve"> из авторской методики </w:t>
      </w:r>
      <w:proofErr w:type="spellStart"/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t>А.Евтодьевой</w:t>
      </w:r>
      <w:proofErr w:type="spellEnd"/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t>)</w:t>
      </w:r>
    </w:p>
    <w:p w:rsidR="00A61961" w:rsidRDefault="00A61961" w:rsidP="00A61961">
      <w:pPr>
        <w:pStyle w:val="a3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  <w: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  <w:t xml:space="preserve">из опыта работы музыкального руководителя </w:t>
      </w:r>
      <w: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  <w:br/>
        <w:t xml:space="preserve"> МОУ Детского сада №279 г. Волгограда</w:t>
      </w:r>
      <w: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  <w:br/>
        <w:t xml:space="preserve"> Богачевой Ирины Викторовны</w:t>
      </w: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</w:p>
    <w:p w:rsidR="00A61961" w:rsidRDefault="00A61961" w:rsidP="00A61961">
      <w:pPr>
        <w:pStyle w:val="a3"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40"/>
          <w:szCs w:val="40"/>
        </w:rPr>
      </w:pPr>
    </w:p>
    <w:p w:rsidR="00A61961" w:rsidRDefault="00A61961" w:rsidP="00A6196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961" w:rsidRDefault="00A61961" w:rsidP="00A61961">
      <w:pPr>
        <w:pStyle w:val="a3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</w:t>
      </w:r>
    </w:p>
    <w:p w:rsidR="00A61961" w:rsidRDefault="00A61961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Сказка является одним из самых доступных средств  для полноценного развития ребёнка, 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занимает настолько прочное место в жизни ребёнка, что некоторые исследователи называют дошкольный возраст «возрастом сказок».</w:t>
      </w:r>
    </w:p>
    <w:p w:rsidR="00A61961" w:rsidRDefault="00A61961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Язык сказки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 и потому доступен. Сюжет загадочен, и тем самым способствует развитию детского воображения. А сказочные образы близки по своему характеру образам воображения детей.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61961" w:rsidRDefault="00A61961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сказки – “Курочка Ряба”, “Репка”, “Теремок”, “Колобок” – понятны ребёнку потому, что их герои – животные – разговаривают и действуют как люди: выполняют трудовые действия (сажают, поливают растения, убирают урожай и т.п.). </w:t>
      </w:r>
    </w:p>
    <w:p w:rsidR="00A61961" w:rsidRDefault="00A61961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сказку,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песенки у детей складываются более глубокие представления о плодотворном труде человека, а также они помогают сформировать у ребенка-дошкольника навык чистого контрастного интонирования  в пении. </w:t>
      </w:r>
    </w:p>
    <w:p w:rsidR="009701CE" w:rsidRDefault="00FB7924" w:rsidP="009701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01CE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необходимо вводить в музыкальные занятия дополнительные внемузыкальные средства, такие, как сказочные образы и сюжеты.</w:t>
      </w:r>
    </w:p>
    <w:p w:rsidR="009701CE" w:rsidRDefault="00FB7924" w:rsidP="009701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</w:pPr>
      <w:r w:rsidRPr="00FB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0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образы помогают ребенку </w:t>
      </w:r>
      <w:r w:rsidR="009701C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чётко и ясно понимать высоту звуков и их голосового воспроизведения, слухового распознавания высоких, средних звуков и закрепления их на практике голосом.</w:t>
      </w:r>
    </w:p>
    <w:p w:rsidR="009701CE" w:rsidRPr="009701CE" w:rsidRDefault="009701CE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5CD" w:rsidRDefault="007735CD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35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5938001" cy="1238596"/>
            <wp:effectExtent l="19050" t="0" r="5599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53" w:rsidRDefault="00773653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73653" w:rsidRDefault="00773653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36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5940425" cy="1173493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53" w:rsidRDefault="00773653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73653" w:rsidRDefault="00773653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36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5940425" cy="1290597"/>
            <wp:effectExtent l="1905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53" w:rsidRDefault="00773653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36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drawing>
          <wp:inline distT="0" distB="0" distL="0" distR="0">
            <wp:extent cx="5940425" cy="977298"/>
            <wp:effectExtent l="19050" t="0" r="317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53" w:rsidRDefault="00773653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73653" w:rsidRDefault="00773653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36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5816485" cy="1346661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775" cy="134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CE" w:rsidRDefault="009701CE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01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5940425" cy="1364170"/>
            <wp:effectExtent l="19050" t="0" r="317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CE" w:rsidRPr="007735CD" w:rsidRDefault="009701CE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61961" w:rsidRDefault="00A61961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Чаще всего, как и в сказках, в песенках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попевках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выступают  два контрастных образа, например: образ Медведя и Машеньки, Волка и Колобка... Дети ясно представляют себе, какой медведь (грозный, большой, крупный) и каким голосом он может петь,</w:t>
      </w:r>
      <w:r w:rsidR="00A80B8D" w:rsidRPr="00A80B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 Машенька маленькая девочка и голосок ее звонкий, или</w:t>
      </w:r>
      <w:r w:rsidR="00A80B8D" w:rsidRPr="00A80B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какая лисичка (нежная, ласковая, но в то же время хитрая) и какая у нее может быть интонация голоса…</w:t>
      </w:r>
    </w:p>
    <w:p w:rsidR="00A61961" w:rsidRDefault="00A61961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Текст, как и образ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лёгкий, понятный и мелодия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двух регистрах: среднем и высоком.</w:t>
      </w:r>
    </w:p>
    <w:p w:rsidR="00A61961" w:rsidRPr="00FB7924" w:rsidRDefault="00A61961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дети закрепляют свои знания русских народных сказок, а используя наглядность (картинки из сказок) у детей развивается образное воображение, которое помогает им правильно выбрать голос для озвучивания персонажа (средний или высокий).</w:t>
      </w:r>
    </w:p>
    <w:p w:rsidR="00A61961" w:rsidRDefault="00A61961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основу своей работы я взяла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методическое и практическое пособие «Учимся петь и танцевать, играя!» А.А.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Евтодьевой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где педагог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предлагаетавторские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игровые практические приёмы, позволяющие развить музыкальный слух ребёнка при помощи игровых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распевок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61961" w:rsidRPr="00A80B8D" w:rsidRDefault="00A61961" w:rsidP="00A619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Игровое распевание может плавно перейти в музыкальную игру. Помимо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слуха, эти песенки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развивают творческие способности детей, формирует навыки театральной деятельности детей: разыгрывание театральных этюдов с использованием различной мимики и жестов героев, пение по ролям.</w:t>
      </w:r>
    </w:p>
    <w:p w:rsidR="00AB4115" w:rsidRPr="00A80B8D" w:rsidRDefault="00A61961" w:rsidP="00A80B8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песенки с использованием сюжетов и образов, взятых из русских народных сказок очень нравятся детям, так как они наглядны, понятны ребятам, проходят в игровой форме, и, как показывает опыт, является весьма результативным в достижении контрастного интонирования, которое так необходимо в пении.</w:t>
      </w:r>
    </w:p>
    <w:sectPr w:rsidR="00AB4115" w:rsidRPr="00A80B8D" w:rsidSect="00A238E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1961"/>
    <w:rsid w:val="007735CD"/>
    <w:rsid w:val="00773653"/>
    <w:rsid w:val="009701CE"/>
    <w:rsid w:val="00A238EF"/>
    <w:rsid w:val="00A61961"/>
    <w:rsid w:val="00A80B8D"/>
    <w:rsid w:val="00AB4115"/>
    <w:rsid w:val="00B923F2"/>
    <w:rsid w:val="00FB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61"/>
    <w:pPr>
      <w:spacing w:after="0" w:line="240" w:lineRule="auto"/>
    </w:pPr>
    <w:rPr>
      <w:rFonts w:ascii="Calibri" w:eastAsia="SimSun" w:hAnsi="Calibri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7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2017-02-26T13:49:00Z</dcterms:created>
  <dcterms:modified xsi:type="dcterms:W3CDTF">2017-02-26T13:57:00Z</dcterms:modified>
</cp:coreProperties>
</file>