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E8" w:rsidRPr="00D40E8E" w:rsidRDefault="003A149F" w:rsidP="002E4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7F9" w:rsidRPr="00D40E8E">
        <w:rPr>
          <w:rFonts w:ascii="Times New Roman" w:hAnsi="Times New Roman" w:cs="Times New Roman"/>
          <w:b/>
          <w:sz w:val="28"/>
          <w:szCs w:val="28"/>
        </w:rPr>
        <w:t>Проектная деятельность как способ организации самостоятельной работы</w:t>
      </w:r>
      <w:r w:rsidR="004F2F6D">
        <w:rPr>
          <w:rFonts w:ascii="Times New Roman" w:hAnsi="Times New Roman" w:cs="Times New Roman"/>
          <w:b/>
          <w:sz w:val="28"/>
          <w:szCs w:val="28"/>
        </w:rPr>
        <w:t xml:space="preserve"> студентов БКПТ ОГУ</w:t>
      </w:r>
      <w:bookmarkStart w:id="0" w:name="_GoBack"/>
      <w:bookmarkEnd w:id="0"/>
    </w:p>
    <w:p w:rsidR="002E47F9" w:rsidRPr="00D40E8E" w:rsidRDefault="002E47F9" w:rsidP="002E4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8E">
        <w:rPr>
          <w:rFonts w:ascii="Times New Roman" w:hAnsi="Times New Roman" w:cs="Times New Roman"/>
          <w:b/>
          <w:sz w:val="28"/>
          <w:szCs w:val="28"/>
        </w:rPr>
        <w:t>М.В.</w:t>
      </w:r>
      <w:r w:rsidR="002F648C" w:rsidRPr="00D40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E8E">
        <w:rPr>
          <w:rFonts w:ascii="Times New Roman" w:hAnsi="Times New Roman" w:cs="Times New Roman"/>
          <w:b/>
          <w:sz w:val="28"/>
          <w:szCs w:val="28"/>
        </w:rPr>
        <w:t xml:space="preserve">Андреева 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направлений концепции модернизации образования является выбор образовательных технологий, способствующих достижению высокого уровня мотивации образовательной деятельности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их самостоятельности и рациональному использованию учебного времени (технологии развивающего обучения, компьютерные технологии, технология учебного проектирования и т.д.).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задачи, стоящие перед современным образованием – акцент перен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знаний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умений и навыков»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происходит переориентация его на личностно-ориентированный (гуманистический) подход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педагоги, мы не можем не задумываться над тем, что ожидает наших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знаем, что будущее потребует от них огромного запаса знаний в области современных технологий. Сегодня уже 60% предложений о работе требуют минимальных компьютерных знаний, и этот процент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от года к году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подготовка молодежи к будущему заключается не только в плане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работать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освоить новые необходимые навыки в связи с тем, что современные технологии все глубже проникают в их жизнь.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педагогических технологий, активно используемых специалистами в последнее время, является метод проектов.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я познаю, я знаю, для чего это мне надо и где и как я могу эти знания применить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основной тезис современного понимания метода проектов. Этот метод всегда ориентирован на самостоятельную деятельность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индивидуальную, парную, групповую, которую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 выполняют в течение определенного отрезка времени.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главной целью применения метода проектов на уроках информа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технологий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развитие творческих способностей учащихся, активизация индивидуальной деятельности, формирование исследовательских навыков, а также и развитие общеучебных умений и навыков (анализ, выделение главного, рационально выполнять задания, работа в группе, составление рецензии,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нужной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дополнительной литературы)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7F9" w:rsidRPr="00D40E8E" w:rsidRDefault="00A67177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современное образование</w:t>
      </w:r>
      <w:r w:rsidR="002E47F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сохраняет нетворческий подход к усвоению знаний. Еще очень часто обучение сводится к запоминанию и воспроизведению приемов действия, типовых способов решения заданий. Однообразное, шаблонное повторение одних и тех же действий убивает интерес к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E47F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учению. На мой взгляд,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2E47F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лишаются радости открытия и постепенно могут потерять способность к творчеству, логическому мышлению.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эффективность применения метода проектов? Является ли метод проектов условием, обеспечивающим высокий образовательный уровень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предпосылкой для формирования исследовательских умений и навыков </w:t>
      </w:r>
      <w:r w:rsidR="00A67177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 во внеурочной деятельности для получения ими универсального образования, для реализации индивидуальных творческих запросов?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это слияние теории и практики, он заключает в себе не только постановку определённой умственной задачи, но и практическое её выполнение. Чтобы понять сущность данного метода, полезно обратиться к понятиям </w:t>
      </w:r>
      <w:r w:rsidR="0075242B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5242B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5242B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75242B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(от лат.projectus, буквально-брошенный вперёд) замысел, план, это мысленное предвосхищение, прогнозирование того, что затем будет воплощено в виде предмета, услуги, творческого акта или действия.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– (от греч. мethodos – путь исследования, теория, учение) понимают способ достижения какой-либо цели, решения конкретной задачи; совокупность приёмов или операций практического или теоретического освоения (познания) действительности.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– это система учебно-познавательных приёмов,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метод предполагает использование </w:t>
      </w:r>
      <w:r w:rsidR="0075242B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и осуществлении образовательного процесса личностно-ориентированного подхода</w:t>
      </w:r>
      <w:r w:rsidR="00AF713D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7F9" w:rsidRPr="00D40E8E" w:rsidRDefault="00AF713D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</w:t>
      </w:r>
      <w:r w:rsidR="002E47F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</w:t>
      </w:r>
      <w:r w:rsidR="002E47F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развитие познавательных навыков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2E47F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умений самостоятельно конструировать свои знания, ориентироваться в информационном пространстве, развитие их критического и творческого мышления, умение увидеть, сформулировать и решить проблему.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использованию метода проектов</w:t>
      </w:r>
    </w:p>
    <w:p w:rsidR="002E47F9" w:rsidRPr="00D40E8E" w:rsidRDefault="002E47F9" w:rsidP="00984D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значимой в исследовательском творческом плане проблемы/задачи, требующей интегрированного знания, исследовательского поиска для ее решения (например, проблема загрязнения воздуха).</w:t>
      </w:r>
    </w:p>
    <w:p w:rsidR="002E47F9" w:rsidRPr="00D40E8E" w:rsidRDefault="002E47F9" w:rsidP="00984D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Практическая, теоретическая, познавательная значимость предполагаемых результатов (например, охрана леса в нашей местности, выпуск газеты с новостями с места событий и т.п.)</w:t>
      </w:r>
    </w:p>
    <w:p w:rsidR="002E47F9" w:rsidRPr="00D40E8E" w:rsidRDefault="002E47F9" w:rsidP="00984D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(индивидуальная, парная, групповая) деятельность учащихся.</w:t>
      </w:r>
    </w:p>
    <w:p w:rsidR="002E47F9" w:rsidRPr="00D40E8E" w:rsidRDefault="002E47F9" w:rsidP="00984D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содержательной части проекта (с указанием поэтапных результатов).</w:t>
      </w:r>
    </w:p>
    <w:p w:rsidR="002E47F9" w:rsidRPr="00D40E8E" w:rsidRDefault="002E47F9" w:rsidP="00984D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исследовательских методов, предусматривающих определенную последовательность действий: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Определение проблемы и вытекающих из нее задач исследования (использование в ходе совместного исследования метода “мозговой атаки”, “круглого стола”);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Выдвижение гипотезы их решения;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Обсуждение методов исследования (статистических, экспериментальных, наблюдений и пр.);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Обсуждение способов оформления конечных результатов (презентаций, защиты, творческих отчетов, и пр.);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Сбор, систематизация и анализ полученных данных;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Подведение итогов, оформление результатов, их презентация;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процессе я включ</w:t>
      </w:r>
      <w:r w:rsidR="003A149F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элементы проектной деятельности </w:t>
      </w:r>
      <w:r w:rsidR="003A149F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обычн</w:t>
      </w:r>
      <w:r w:rsidR="008F31E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практическое занятие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форма работы обеспечивает учёт индивидуальных особенностей </w:t>
      </w:r>
      <w:r w:rsidR="003A149F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открывает большие возможности для возникновения групповой, познавательной деятельности. При этом в значительной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степени возрастает индивидуальная помощь каждому нуждающемуся в ней </w:t>
      </w:r>
      <w:r w:rsidR="008F31E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со стороны </w:t>
      </w:r>
      <w:r w:rsidR="008F31E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своих товарищей.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при этом небольшие (на один урок) и более длительные, часто рассчитанные на расширение образовательной деятельности в виде самообразования в рамках самостоятельной работы.</w:t>
      </w:r>
    </w:p>
    <w:p w:rsidR="002E47F9" w:rsidRPr="00D40E8E" w:rsidRDefault="00984DD8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работаю в следующей последовательности</w:t>
      </w:r>
      <w:r w:rsidR="002E47F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 даю базовые теоретические знания, которые нацелены на всеобщее понимание. Затем мы переходим к практическим занятиям, содержание которых соответствует итоговой системе знаний и умений,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2E47F9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После этого переходим к выполнению проектов, направленных на применение полученных знаний в нетрадиционных ситуациях, желательно имеющих практическое значение.</w:t>
      </w:r>
    </w:p>
    <w:p w:rsidR="002E47F9" w:rsidRPr="00D40E8E" w:rsidRDefault="002E47F9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</w:t>
      </w:r>
      <w:r w:rsidR="00984DD8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используется на уроках контроля и обобщения знаний</w:t>
      </w:r>
      <w:r w:rsidR="00984DD8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организации самостоятельной работы студентов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отметить, что на таких уроках </w:t>
      </w:r>
      <w:r w:rsidR="00984DD8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 понимать, где и как они смогут применить полученные знания, а при работе традиционным способом </w:t>
      </w:r>
      <w:r w:rsidR="00984DD8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остается неясным для чего и почему ему необходимо выполнять те или иные упражнения, решать те или иные задачи. При работе над проектом </w:t>
      </w:r>
      <w:r w:rsidR="00984DD8"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видит, на сколько удачно он поработал, отметка становится менее важным фактором по сравнению с достижением цели проекта.</w:t>
      </w:r>
    </w:p>
    <w:p w:rsidR="00984DD8" w:rsidRPr="00D40E8E" w:rsidRDefault="00984DD8" w:rsidP="0098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студент проявляет больший интерес к интерактивным технологиям обучения. Отказ от директивного обучения и директивности в отношениях со студентами предполагает предоставление им большей самостоятельности, возможностей большего выбора курсов и спецкурсов, форм контроля (значительная часть студентов отдает предпочтение рейтинговой форме контроля). Учитывать эти потребности студентов - значит, заботиться о привлекательности формы подачи знаний, ее обновлении, налаживать отношения сотрудничества.</w:t>
      </w:r>
    </w:p>
    <w:p w:rsidR="00984DD8" w:rsidRPr="00D40E8E" w:rsidRDefault="00984DD8" w:rsidP="0098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самостоятельная работа студента во всех ее видах возможна только при наличии серьезной и устойчивой мотивации; в противном случае будет имитация активности, уход от самостоятельности действий.</w:t>
      </w:r>
    </w:p>
    <w:p w:rsidR="00984DD8" w:rsidRPr="00D40E8E" w:rsidRDefault="00984DD8" w:rsidP="0098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самостоятельной работы обучающийся приобретает навыки самоорганизации, самоконтроля, самоуправления, саморефлексии и становится активным самостоятельным субъектом учебной деятельности.</w:t>
      </w:r>
    </w:p>
    <w:p w:rsidR="00984DD8" w:rsidRPr="00D40E8E" w:rsidRDefault="00984DD8" w:rsidP="0098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форм и методов контроля внеаудиторной самостоятельной работы могут быть использованы зачеты, тестирование, самоотчеты, контрольные работы, защита творческих работ, портфолио достижений и др.</w:t>
      </w:r>
    </w:p>
    <w:p w:rsidR="00984DD8" w:rsidRPr="00D40E8E" w:rsidRDefault="00984DD8" w:rsidP="0098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результатов внеаудиторной самостоятельной работы являются: уровень освоения обучающимся учебного материала;  обоснованность и четкость изложения ответа; умения студента использовать теоретические знания при выполнении практических заданий; оформление материала в соответствии с требованиями.</w:t>
      </w:r>
    </w:p>
    <w:p w:rsidR="00984DD8" w:rsidRPr="00D40E8E" w:rsidRDefault="00984DD8" w:rsidP="0098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внеаудиторное задание должно стать логическим звеном в системе заданий для самостоятельной работы, главный итог которых – формирование всех очерченных программой умений и знаний, создание условий для формирования общих и профессиональных компетенций.</w:t>
      </w:r>
    </w:p>
    <w:p w:rsidR="00D40E8E" w:rsidRPr="00D40E8E" w:rsidRDefault="00D40E8E" w:rsidP="00984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E8E" w:rsidRPr="00D40E8E" w:rsidRDefault="00D40E8E" w:rsidP="00D40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Библиографический список</w:t>
      </w:r>
    </w:p>
    <w:p w:rsidR="00D40E8E" w:rsidRPr="00D40E8E" w:rsidRDefault="00D40E8E" w:rsidP="00D40E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Булатова О. С. Искусство современного урока: учебное пособие для студентов высших учебных заведений / О. С. Булатова – М.: Издательский центр «Академия», 2010-256 с. ISBN5-7695-2713-7</w:t>
      </w:r>
    </w:p>
    <w:p w:rsidR="00D40E8E" w:rsidRPr="00D40E8E" w:rsidRDefault="00D40E8E" w:rsidP="00D40E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И. А. Педагогическое проектирование: учебное пособие для высших учебных заведений / И. А. Колесникова, М. П. Горчакова – Сибирская; Под редакцией И. А. Колесниковой. – М.: Издательский центр «Академия», 2010 – 288 с. ISBN5-7695-2213-5</w:t>
      </w:r>
    </w:p>
    <w:p w:rsidR="00D40E8E" w:rsidRPr="00D40E8E" w:rsidRDefault="00D40E8E" w:rsidP="00D40E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Морева Н. А. Технологии профессионального образования: Учебное пособие для студентов высших учебных заведений / Наталья Александровна Морева. – М.: Издательский центр «Академия», 2008. – 432 с. ISBN 5-7695-2254-2</w:t>
      </w:r>
    </w:p>
    <w:p w:rsidR="00D40E8E" w:rsidRPr="00D40E8E" w:rsidRDefault="00D40E8E" w:rsidP="00D40E8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Ведерникова Е.Г. – «Развитие  познавательной активности студентов в процессе обучения и внеаудиторной деятельности через активизацию мышления»- М.: Эксмо, 2012</w:t>
      </w:r>
    </w:p>
    <w:p w:rsidR="00D40E8E" w:rsidRPr="00D40E8E" w:rsidRDefault="00D40E8E" w:rsidP="00D40E8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Лесик И.С. – «Организация самостоятельной работы студентов как одно из условий усвоения профессиональных компетенций»- М: ПРИОР, 2003 г.</w:t>
      </w:r>
    </w:p>
    <w:p w:rsidR="00D40E8E" w:rsidRPr="00D40E8E" w:rsidRDefault="00D40E8E" w:rsidP="00D40E8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Марохонько О.И. – «Организация самостоятельной работы студентов» - М.: Эксмо-Пресс, 2010 г.</w:t>
      </w:r>
    </w:p>
    <w:p w:rsidR="00D40E8E" w:rsidRPr="00D40E8E" w:rsidRDefault="00D40E8E" w:rsidP="00D40E8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Кремнева Т.В. - "Способы активизации познавательной деятельности студентов"</w:t>
      </w:r>
    </w:p>
    <w:p w:rsidR="00D40E8E" w:rsidRPr="00D40E8E" w:rsidRDefault="00D40E8E" w:rsidP="00D40E8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И.А. Педагогическое проектирование / И.А.Колесникова, М.П. Горчакова-Сибирская. – М., 2005.</w:t>
      </w:r>
    </w:p>
    <w:p w:rsidR="00D40E8E" w:rsidRPr="00D40E8E" w:rsidRDefault="00D40E8E" w:rsidP="00D40E8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оценочных средств компетентносто-ориентированных основных образовательных программ для реализации уровневого профессионально-педагогического образования: метод. пособие для организаторов проектных работ и профессорско-преподавательских коллективов вузов / авт.-сост. И.В. Осипова, О.В. Тарасюк, А.М. Старкова. – Екатеринбург: ФГАОУ ВПО «Рос. гос. проф.-пед. ун-т». – 2010. – 72 с.</w:t>
      </w:r>
    </w:p>
    <w:p w:rsidR="00984DD8" w:rsidRPr="00D40E8E" w:rsidRDefault="00984DD8" w:rsidP="00984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4DD8" w:rsidRPr="00D40E8E" w:rsidSect="002E47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92A"/>
    <w:multiLevelType w:val="multilevel"/>
    <w:tmpl w:val="B4D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66BE0"/>
    <w:multiLevelType w:val="multilevel"/>
    <w:tmpl w:val="973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52044"/>
    <w:multiLevelType w:val="multilevel"/>
    <w:tmpl w:val="1D4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A490C"/>
    <w:multiLevelType w:val="multilevel"/>
    <w:tmpl w:val="4AB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97755"/>
    <w:multiLevelType w:val="multilevel"/>
    <w:tmpl w:val="AADE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D0D40"/>
    <w:multiLevelType w:val="multilevel"/>
    <w:tmpl w:val="E764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F9"/>
    <w:rsid w:val="002E47F9"/>
    <w:rsid w:val="002F648C"/>
    <w:rsid w:val="003A149F"/>
    <w:rsid w:val="004F2F6D"/>
    <w:rsid w:val="006F28E8"/>
    <w:rsid w:val="00730449"/>
    <w:rsid w:val="0075242B"/>
    <w:rsid w:val="00755C4B"/>
    <w:rsid w:val="008F31E9"/>
    <w:rsid w:val="00984DD8"/>
    <w:rsid w:val="00A67177"/>
    <w:rsid w:val="00AF713D"/>
    <w:rsid w:val="00D4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7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7F9"/>
  </w:style>
  <w:style w:type="character" w:styleId="a4">
    <w:name w:val="Emphasis"/>
    <w:basedOn w:val="a0"/>
    <w:uiPriority w:val="20"/>
    <w:qFormat/>
    <w:rsid w:val="002E47F9"/>
    <w:rPr>
      <w:i/>
      <w:iCs/>
    </w:rPr>
  </w:style>
  <w:style w:type="paragraph" w:styleId="a5">
    <w:name w:val="Normal (Web)"/>
    <w:basedOn w:val="a"/>
    <w:uiPriority w:val="99"/>
    <w:semiHidden/>
    <w:unhideWhenUsed/>
    <w:rsid w:val="002E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47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7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7F9"/>
  </w:style>
  <w:style w:type="character" w:styleId="a4">
    <w:name w:val="Emphasis"/>
    <w:basedOn w:val="a0"/>
    <w:uiPriority w:val="20"/>
    <w:qFormat/>
    <w:rsid w:val="002E47F9"/>
    <w:rPr>
      <w:i/>
      <w:iCs/>
    </w:rPr>
  </w:style>
  <w:style w:type="paragraph" w:styleId="a5">
    <w:name w:val="Normal (Web)"/>
    <w:basedOn w:val="a"/>
    <w:uiPriority w:val="99"/>
    <w:semiHidden/>
    <w:unhideWhenUsed/>
    <w:rsid w:val="002E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47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25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Adminis</cp:lastModifiedBy>
  <cp:revision>11</cp:revision>
  <dcterms:created xsi:type="dcterms:W3CDTF">2016-10-14T05:51:00Z</dcterms:created>
  <dcterms:modified xsi:type="dcterms:W3CDTF">2016-10-17T12:01:00Z</dcterms:modified>
</cp:coreProperties>
</file>